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623AFD">
              <w:rPr>
                <w:bCs/>
                <w:sz w:val="24"/>
                <w:szCs w:val="24"/>
              </w:rPr>
              <w:t>11</w:t>
            </w:r>
            <w:bookmarkStart w:id="1" w:name="_GoBack"/>
            <w:bookmarkEnd w:id="1"/>
            <w:r w:rsidR="006D5F11">
              <w:rPr>
                <w:bCs/>
                <w:sz w:val="24"/>
                <w:szCs w:val="24"/>
              </w:rPr>
              <w:t>.</w:t>
            </w:r>
            <w:r w:rsidR="006913D8">
              <w:rPr>
                <w:bCs/>
                <w:sz w:val="24"/>
                <w:szCs w:val="24"/>
                <w:lang w:val="en-US"/>
              </w:rPr>
              <w:t>09</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6913D8" w:rsidRDefault="007821FA" w:rsidP="006913D8">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6913D8">
        <w:rPr>
          <w:rFonts w:ascii="Times New Roman" w:eastAsia="Times New Roman" w:hAnsi="Times New Roman"/>
          <w:sz w:val="32"/>
          <w:szCs w:val="32"/>
          <w:lang w:eastAsia="ru-RU"/>
        </w:rPr>
        <w:t>поставку химических материалов</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036A45" w:rsidRPr="00800799" w:rsidRDefault="00036A45"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EA7E42" w:rsidP="006913D8">
            <w:pPr>
              <w:suppressAutoHyphens/>
              <w:spacing w:after="0" w:line="240" w:lineRule="auto"/>
              <w:jc w:val="both"/>
              <w:rPr>
                <w:rFonts w:ascii="Times New Roman" w:eastAsia="Times New Roman" w:hAnsi="Times New Roman"/>
                <w:sz w:val="24"/>
                <w:szCs w:val="24"/>
                <w:lang w:eastAsia="ru-RU"/>
              </w:rPr>
            </w:pPr>
            <w:r w:rsidRPr="00EA7E42">
              <w:rPr>
                <w:rFonts w:ascii="Times New Roman" w:eastAsia="Times New Roman" w:hAnsi="Times New Roman"/>
                <w:color w:val="000000"/>
                <w:kern w:val="28"/>
                <w:sz w:val="24"/>
                <w:szCs w:val="24"/>
                <w:lang w:eastAsia="ru-RU"/>
              </w:rPr>
              <w:t xml:space="preserve">Поставка </w:t>
            </w:r>
            <w:r w:rsidR="006913D8">
              <w:rPr>
                <w:rFonts w:ascii="Times New Roman" w:eastAsia="Times New Roman" w:hAnsi="Times New Roman"/>
                <w:color w:val="000000"/>
                <w:kern w:val="28"/>
                <w:sz w:val="24"/>
                <w:szCs w:val="24"/>
                <w:lang w:eastAsia="ru-RU"/>
              </w:rPr>
              <w:t>химических материалов</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913D8">
              <w:rPr>
                <w:rFonts w:ascii="Times New Roman" w:eastAsia="Times New Roman" w:hAnsi="Times New Roman"/>
                <w:color w:val="000000"/>
                <w:kern w:val="28"/>
                <w:sz w:val="24"/>
                <w:szCs w:val="24"/>
                <w:lang w:eastAsia="ru-RU"/>
              </w:rPr>
              <w:t>212-57-62</w:t>
            </w:r>
          </w:p>
          <w:p w:rsidR="00736415" w:rsidRPr="00A505AA" w:rsidRDefault="00D02F8F" w:rsidP="006913D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913D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46744A">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AD366B">
              <w:rPr>
                <w:rFonts w:ascii="Times New Roman" w:hAnsi="Times New Roman"/>
                <w:bCs/>
                <w:sz w:val="24"/>
                <w:szCs w:val="24"/>
              </w:rPr>
              <w:t>1</w:t>
            </w:r>
            <w:r w:rsidR="006913D8">
              <w:rPr>
                <w:rFonts w:ascii="Times New Roman" w:hAnsi="Times New Roman"/>
                <w:bCs/>
                <w:sz w:val="24"/>
                <w:szCs w:val="24"/>
              </w:rPr>
              <w:t>84</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913D8" w:rsidRPr="007C15EF" w:rsidRDefault="006913D8" w:rsidP="006913D8">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913D8" w:rsidP="006913D8">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6913D8" w:rsidP="00E55E05">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440 036 (Четыреста сорок тысяч тридцать шесть) рублей 66 копеек,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1E5FD8">
            <w:pPr>
              <w:pStyle w:val="afffff6"/>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 </w:t>
            </w:r>
            <w:r w:rsidRPr="001E5FD8">
              <w:rPr>
                <w:rFonts w:ascii="Times New Roman" w:hAnsi="Times New Roman"/>
                <w:bCs/>
                <w:sz w:val="24"/>
                <w:szCs w:val="24"/>
              </w:rPr>
              <w:lastRenderedPageBreak/>
              <w:t>Заключая Договор, Поставщик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623AFD">
              <w:rPr>
                <w:rFonts w:ascii="Times New Roman" w:hAnsi="Times New Roman"/>
                <w:bCs/>
                <w:sz w:val="24"/>
                <w:szCs w:val="24"/>
              </w:rPr>
              <w:t>16</w:t>
            </w:r>
            <w:r w:rsidR="00A9692C">
              <w:rPr>
                <w:rFonts w:ascii="Times New Roman" w:hAnsi="Times New Roman"/>
                <w:bCs/>
                <w:sz w:val="24"/>
                <w:szCs w:val="24"/>
              </w:rPr>
              <w:t xml:space="preserve">» </w:t>
            </w:r>
            <w:r w:rsidR="00623AFD">
              <w:rPr>
                <w:rFonts w:ascii="Times New Roman" w:hAnsi="Times New Roman"/>
                <w:bCs/>
                <w:sz w:val="24"/>
                <w:szCs w:val="24"/>
              </w:rPr>
              <w:t>сентября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623AFD">
            <w:pPr>
              <w:pStyle w:val="afffff6"/>
              <w:rPr>
                <w:rFonts w:ascii="Times New Roman" w:hAnsi="Times New Roman"/>
                <w:bCs/>
                <w:sz w:val="24"/>
                <w:szCs w:val="24"/>
              </w:rPr>
            </w:pPr>
            <w:r>
              <w:rPr>
                <w:rFonts w:ascii="Times New Roman" w:hAnsi="Times New Roman"/>
                <w:bCs/>
                <w:sz w:val="24"/>
                <w:szCs w:val="24"/>
              </w:rPr>
              <w:t>«</w:t>
            </w:r>
            <w:r w:rsidR="00623AFD">
              <w:rPr>
                <w:rFonts w:ascii="Times New Roman" w:hAnsi="Times New Roman"/>
                <w:bCs/>
                <w:sz w:val="24"/>
                <w:szCs w:val="24"/>
              </w:rPr>
              <w:t>16</w:t>
            </w:r>
            <w:r>
              <w:rPr>
                <w:rFonts w:ascii="Times New Roman" w:hAnsi="Times New Roman"/>
                <w:bCs/>
                <w:sz w:val="24"/>
                <w:szCs w:val="24"/>
              </w:rPr>
              <w:t xml:space="preserve">» </w:t>
            </w:r>
            <w:r w:rsidR="00623AFD">
              <w:rPr>
                <w:rFonts w:ascii="Times New Roman" w:hAnsi="Times New Roman"/>
                <w:bCs/>
                <w:sz w:val="24"/>
                <w:szCs w:val="24"/>
              </w:rPr>
              <w:t>сентября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623AFD">
            <w:pPr>
              <w:pStyle w:val="afffff6"/>
              <w:rPr>
                <w:rFonts w:ascii="Times New Roman" w:hAnsi="Times New Roman"/>
                <w:bCs/>
                <w:sz w:val="24"/>
                <w:szCs w:val="24"/>
              </w:rPr>
            </w:pPr>
            <w:r>
              <w:rPr>
                <w:rFonts w:ascii="Times New Roman" w:hAnsi="Times New Roman"/>
                <w:bCs/>
                <w:sz w:val="24"/>
                <w:szCs w:val="24"/>
              </w:rPr>
              <w:t>«</w:t>
            </w:r>
            <w:r w:rsidR="00623AFD">
              <w:rPr>
                <w:rFonts w:ascii="Times New Roman" w:hAnsi="Times New Roman"/>
                <w:bCs/>
                <w:sz w:val="24"/>
                <w:szCs w:val="24"/>
              </w:rPr>
              <w:t>16</w:t>
            </w:r>
            <w:r>
              <w:rPr>
                <w:rFonts w:ascii="Times New Roman" w:hAnsi="Times New Roman"/>
                <w:bCs/>
                <w:sz w:val="24"/>
                <w:szCs w:val="24"/>
              </w:rPr>
              <w:t xml:space="preserve">» </w:t>
            </w:r>
            <w:r w:rsidR="00623AFD">
              <w:rPr>
                <w:rFonts w:ascii="Times New Roman" w:hAnsi="Times New Roman"/>
                <w:bCs/>
                <w:sz w:val="24"/>
                <w:szCs w:val="24"/>
              </w:rPr>
              <w:t>сентября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6913D8"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3700 кг</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D5F6E" w:rsidP="000D5F6E">
            <w:pPr>
              <w:autoSpaceDE w:val="0"/>
              <w:autoSpaceDN w:val="0"/>
              <w:adjustRightInd w:val="0"/>
              <w:spacing w:after="0" w:line="240" w:lineRule="auto"/>
              <w:jc w:val="both"/>
              <w:rPr>
                <w:rFonts w:ascii="Times New Roman" w:hAnsi="Times New Roman"/>
                <w:sz w:val="24"/>
                <w:szCs w:val="24"/>
              </w:rPr>
            </w:pPr>
            <w:r w:rsidRPr="000D5F6E">
              <w:rPr>
                <w:rFonts w:ascii="Times New Roman" w:hAnsi="Times New Roman"/>
                <w:sz w:val="24"/>
                <w:szCs w:val="24"/>
              </w:rPr>
              <w:t>г. Екатеринбург, ул. 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301A1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301A14">
              <w:rPr>
                <w:rFonts w:ascii="Times New Roman" w:eastAsia="Times New Roman" w:hAnsi="Times New Roman"/>
                <w:bCs/>
                <w:sz w:val="24"/>
                <w:szCs w:val="24"/>
                <w:lang w:eastAsia="ru-RU"/>
              </w:rPr>
              <w:t>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301A14">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301A14">
              <w:rPr>
                <w:rFonts w:ascii="Times New Roman" w:eastAsia="Times New Roman" w:hAnsi="Times New Roman"/>
                <w:bCs/>
                <w:sz w:val="24"/>
                <w:szCs w:val="24"/>
                <w:lang w:eastAsia="ru-RU"/>
              </w:rPr>
              <w:t>пунктом</w:t>
            </w:r>
            <w:r>
              <w:rPr>
                <w:rFonts w:ascii="Times New Roman" w:eastAsia="Times New Roman" w:hAnsi="Times New Roman"/>
                <w:bCs/>
                <w:sz w:val="24"/>
                <w:szCs w:val="24"/>
                <w:lang w:eastAsia="ru-RU"/>
              </w:rPr>
              <w:t xml:space="preserve"> </w:t>
            </w:r>
            <w:r w:rsidR="00D53740">
              <w:rPr>
                <w:rFonts w:ascii="Times New Roman" w:eastAsia="Times New Roman" w:hAnsi="Times New Roman"/>
                <w:bCs/>
                <w:sz w:val="24"/>
                <w:szCs w:val="24"/>
                <w:lang w:eastAsia="ru-RU"/>
              </w:rPr>
              <w:t>3</w:t>
            </w:r>
            <w:r w:rsidR="00301A14">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E03B80" w:rsidRDefault="006913D8" w:rsidP="000808C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p w:rsidR="000808CD" w:rsidRPr="006F0D24" w:rsidRDefault="000808CD" w:rsidP="000808C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7512ED"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Исполняя наши обязательства и изучив Извещение о закупке для проведения запроса котировок на </w:t>
      </w:r>
      <w:r w:rsidR="00DF3421" w:rsidRPr="007737DD">
        <w:rPr>
          <w:rFonts w:ascii="Times New Roman" w:eastAsia="Times New Roman" w:hAnsi="Times New Roman"/>
          <w:color w:val="000000"/>
          <w:kern w:val="28"/>
          <w:sz w:val="22"/>
          <w:szCs w:val="22"/>
          <w:lang w:eastAsia="ru-RU"/>
        </w:rPr>
        <w:t>поставку тестовых пробников В763 для установки SPEA 4060 и SPEA 4020</w:t>
      </w:r>
      <w:r w:rsidRPr="007737DD">
        <w:rPr>
          <w:rFonts w:ascii="Times New Roman" w:eastAsia="Times New Roman" w:hAnsi="Times New Roman"/>
          <w:sz w:val="22"/>
          <w:szCs w:val="22"/>
          <w:lang w:eastAsia="ru-RU"/>
        </w:rPr>
        <w:t xml:space="preserve"> </w:t>
      </w:r>
      <w:r w:rsidR="00DF3421" w:rsidRPr="007737DD">
        <w:rPr>
          <w:rFonts w:ascii="Times New Roman" w:eastAsia="Times New Roman" w:hAnsi="Times New Roman"/>
          <w:sz w:val="22"/>
          <w:szCs w:val="22"/>
          <w:lang w:eastAsia="ru-RU"/>
        </w:rPr>
        <w:br/>
      </w:r>
      <w:r w:rsidRPr="007737DD">
        <w:rPr>
          <w:rFonts w:ascii="Times New Roman" w:eastAsia="Times New Roman" w:hAnsi="Times New Roman"/>
          <w:sz w:val="22"/>
          <w:szCs w:val="22"/>
          <w:lang w:eastAsia="ru-RU"/>
        </w:rPr>
        <w:t>для</w:t>
      </w:r>
      <w:r w:rsidRPr="007737DD">
        <w:rPr>
          <w:rFonts w:ascii="Times New Roman" w:eastAsia="Times New Roman" w:hAnsi="Times New Roman"/>
          <w:kern w:val="28"/>
          <w:sz w:val="22"/>
          <w:szCs w:val="22"/>
          <w:lang w:eastAsia="ru-RU"/>
        </w:rPr>
        <w:t xml:space="preserve"> АО «НПО автоматики»</w:t>
      </w:r>
      <w:r w:rsidRPr="007737DD">
        <w:rPr>
          <w:rFonts w:ascii="Times New Roman" w:eastAsia="Times New Roman" w:hAnsi="Times New Roman"/>
          <w:sz w:val="22"/>
          <w:szCs w:val="22"/>
          <w:lang w:eastAsia="ru-RU"/>
        </w:rPr>
        <w:t xml:space="preserve"> (далее – </w:t>
      </w:r>
      <w:r w:rsidR="00DF3421" w:rsidRPr="007737DD">
        <w:rPr>
          <w:rFonts w:ascii="Times New Roman" w:eastAsia="Times New Roman" w:hAnsi="Times New Roman"/>
          <w:sz w:val="22"/>
          <w:szCs w:val="22"/>
          <w:lang w:eastAsia="ru-RU"/>
        </w:rPr>
        <w:t>продукция</w:t>
      </w:r>
      <w:r w:rsidRPr="007737DD">
        <w:rPr>
          <w:rFonts w:ascii="Times New Roman" w:eastAsia="Times New Roman" w:hAnsi="Times New Roman"/>
          <w:sz w:val="22"/>
          <w:szCs w:val="22"/>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(наименование Участника размещения заказа)</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в лице_______________________________________________________________________ </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(должность руководителя или уполномоченного лица, Ф.И.О.)</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уполномоченного в случае признания нас Победителями запроса котировок готовы </w:t>
      </w:r>
      <w:r w:rsidR="00DF3421" w:rsidRPr="007737DD">
        <w:rPr>
          <w:rFonts w:ascii="Times New Roman" w:eastAsia="Times New Roman" w:hAnsi="Times New Roman"/>
          <w:sz w:val="22"/>
          <w:szCs w:val="22"/>
          <w:lang w:eastAsia="ru-RU"/>
        </w:rPr>
        <w:t>поставить продукцию</w:t>
      </w:r>
      <w:r w:rsidRPr="007737DD">
        <w:rPr>
          <w:rFonts w:ascii="Times New Roman" w:eastAsia="Times New Roman" w:hAnsi="Times New Roman"/>
          <w:sz w:val="22"/>
          <w:szCs w:val="22"/>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737DD"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2"/>
          <w:szCs w:val="22"/>
          <w:highlight w:val="yellow"/>
          <w:lang w:eastAsia="ar-SA"/>
        </w:rPr>
      </w:pPr>
      <w:r w:rsidRPr="007737DD">
        <w:rPr>
          <w:rFonts w:ascii="Times New Roman" w:eastAsia="Times New Roman" w:hAnsi="Times New Roman"/>
          <w:sz w:val="22"/>
          <w:szCs w:val="22"/>
          <w:lang w:eastAsia="ar-SA"/>
        </w:rPr>
        <w:t>- по цене согласно предложени</w:t>
      </w:r>
      <w:r w:rsidR="001A06D4" w:rsidRPr="007737DD">
        <w:rPr>
          <w:rFonts w:ascii="Times New Roman" w:eastAsia="Times New Roman" w:hAnsi="Times New Roman"/>
          <w:sz w:val="22"/>
          <w:szCs w:val="22"/>
          <w:lang w:eastAsia="ar-SA"/>
        </w:rPr>
        <w:t>я</w:t>
      </w:r>
      <w:r w:rsidRPr="007737DD">
        <w:rPr>
          <w:rFonts w:ascii="Times New Roman" w:eastAsia="Times New Roman" w:hAnsi="Times New Roman"/>
          <w:sz w:val="22"/>
          <w:szCs w:val="22"/>
          <w:lang w:eastAsia="ar-SA"/>
        </w:rPr>
        <w:t xml:space="preserve"> о цене договора</w:t>
      </w:r>
      <w:r w:rsidR="001A06D4" w:rsidRPr="007737DD">
        <w:rPr>
          <w:rFonts w:ascii="Times New Roman" w:eastAsia="Times New Roman" w:hAnsi="Times New Roman"/>
          <w:sz w:val="22"/>
          <w:szCs w:val="22"/>
          <w:lang w:eastAsia="ar-SA"/>
        </w:rPr>
        <w:t>,</w:t>
      </w:r>
      <w:r w:rsidRPr="007737DD">
        <w:rPr>
          <w:rFonts w:ascii="Times New Roman" w:eastAsia="Times New Roman" w:hAnsi="Times New Roman"/>
          <w:sz w:val="22"/>
          <w:szCs w:val="22"/>
          <w:lang w:eastAsia="ar-SA"/>
        </w:rPr>
        <w:t xml:space="preserve"> с указанием наименования страны происхождения товара (Форма 3);</w:t>
      </w:r>
    </w:p>
    <w:p w:rsidR="00E5692A"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7737DD">
        <w:rPr>
          <w:rFonts w:ascii="Times New Roman" w:eastAsia="Times New Roman" w:hAnsi="Times New Roman"/>
          <w:sz w:val="22"/>
          <w:szCs w:val="22"/>
          <w:lang w:eastAsia="ar-SA"/>
        </w:rPr>
        <w:t>- в количестве, номенклатуре, сроки в соответствии с требованиями Технического задания (Приложение №2 к Извещения о закупке) и проекта договора (Приложение № 1 к Извещению о закупке):</w:t>
      </w:r>
    </w:p>
    <w:p w:rsidR="007512ED" w:rsidRPr="007737DD" w:rsidRDefault="007512ED"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p>
    <w:tbl>
      <w:tblPr>
        <w:tblpPr w:leftFromText="180" w:rightFromText="180" w:vertAnchor="text" w:tblpX="93"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013"/>
        <w:gridCol w:w="1766"/>
        <w:gridCol w:w="3969"/>
        <w:gridCol w:w="993"/>
        <w:gridCol w:w="708"/>
      </w:tblGrid>
      <w:tr w:rsidR="007512ED" w:rsidRPr="00BE0875" w:rsidTr="00B6152E">
        <w:trPr>
          <w:trHeight w:val="315"/>
        </w:trPr>
        <w:tc>
          <w:tcPr>
            <w:tcW w:w="724" w:type="dxa"/>
            <w:shd w:val="clear" w:color="auto" w:fill="auto"/>
            <w:noWrap/>
            <w:hideMark/>
          </w:tcPr>
          <w:p w:rsidR="007512ED" w:rsidRPr="007512ED" w:rsidRDefault="007512ED" w:rsidP="007512ED">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w:t>
            </w:r>
          </w:p>
        </w:tc>
        <w:tc>
          <w:tcPr>
            <w:tcW w:w="2013" w:type="dxa"/>
            <w:shd w:val="clear" w:color="auto" w:fill="auto"/>
            <w:noWrap/>
            <w:hideMark/>
          </w:tcPr>
          <w:p w:rsidR="007512ED" w:rsidRPr="007512ED" w:rsidRDefault="007512ED" w:rsidP="007512ED">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Наименование товара</w:t>
            </w:r>
          </w:p>
        </w:tc>
        <w:tc>
          <w:tcPr>
            <w:tcW w:w="1766" w:type="dxa"/>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НТД (ГОСТ, ТУ)</w:t>
            </w:r>
          </w:p>
        </w:tc>
        <w:tc>
          <w:tcPr>
            <w:tcW w:w="3969" w:type="dxa"/>
          </w:tcPr>
          <w:p w:rsidR="007512ED" w:rsidRPr="007512ED" w:rsidRDefault="007512ED" w:rsidP="007512ED">
            <w:pPr>
              <w:spacing w:after="0" w:line="240" w:lineRule="auto"/>
              <w:jc w:val="center"/>
              <w:rPr>
                <w:rFonts w:ascii="Times New Roman" w:eastAsia="Calibri" w:hAnsi="Times New Roman"/>
                <w:b/>
                <w:bCs/>
                <w:sz w:val="22"/>
                <w:szCs w:val="22"/>
                <w:vertAlign w:val="superscript"/>
              </w:rPr>
            </w:pPr>
            <w:r w:rsidRPr="007512ED">
              <w:rPr>
                <w:rFonts w:ascii="Times New Roman" w:eastAsia="Calibri" w:hAnsi="Times New Roman"/>
                <w:b/>
                <w:bCs/>
                <w:sz w:val="22"/>
                <w:szCs w:val="22"/>
              </w:rPr>
              <w:t>Технические характеристики требуемой продукции</w:t>
            </w:r>
          </w:p>
          <w:p w:rsidR="007512ED" w:rsidRPr="007512ED" w:rsidRDefault="007512ED" w:rsidP="007512ED">
            <w:pPr>
              <w:spacing w:after="0" w:line="240" w:lineRule="auto"/>
              <w:jc w:val="center"/>
              <w:rPr>
                <w:rFonts w:ascii="Times New Roman" w:eastAsia="Calibri" w:hAnsi="Times New Roman"/>
                <w:b/>
                <w:sz w:val="22"/>
                <w:szCs w:val="22"/>
              </w:rPr>
            </w:pPr>
          </w:p>
        </w:tc>
        <w:tc>
          <w:tcPr>
            <w:tcW w:w="993" w:type="dxa"/>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Кол-во</w:t>
            </w:r>
          </w:p>
          <w:p w:rsidR="007512ED" w:rsidRPr="007512ED" w:rsidRDefault="007512ED" w:rsidP="007512ED">
            <w:pPr>
              <w:spacing w:after="0" w:line="240" w:lineRule="auto"/>
              <w:jc w:val="center"/>
              <w:rPr>
                <w:rFonts w:ascii="Times New Roman" w:eastAsia="Calibri" w:hAnsi="Times New Roman"/>
                <w:b/>
                <w:bCs/>
                <w:sz w:val="22"/>
                <w:szCs w:val="22"/>
              </w:rPr>
            </w:pPr>
          </w:p>
        </w:tc>
        <w:tc>
          <w:tcPr>
            <w:tcW w:w="708" w:type="dxa"/>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Ед. изм.</w:t>
            </w:r>
          </w:p>
        </w:tc>
      </w:tr>
      <w:tr w:rsidR="007512ED" w:rsidRPr="00BE0875" w:rsidTr="00B6152E">
        <w:trPr>
          <w:trHeight w:val="315"/>
        </w:trPr>
        <w:tc>
          <w:tcPr>
            <w:tcW w:w="724" w:type="dxa"/>
            <w:shd w:val="clear" w:color="auto" w:fill="auto"/>
            <w:noWrap/>
            <w:vAlign w:val="center"/>
          </w:tcPr>
          <w:p w:rsidR="007512ED" w:rsidRPr="007512ED" w:rsidRDefault="007512ED" w:rsidP="007512ED">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1</w:t>
            </w:r>
          </w:p>
        </w:tc>
        <w:tc>
          <w:tcPr>
            <w:tcW w:w="2013" w:type="dxa"/>
            <w:shd w:val="clear" w:color="auto" w:fill="auto"/>
            <w:noWrap/>
            <w:vAlign w:val="center"/>
          </w:tcPr>
          <w:p w:rsidR="007512ED" w:rsidRPr="007512ED" w:rsidRDefault="007512ED" w:rsidP="007512ED">
            <w:pPr>
              <w:spacing w:after="0" w:line="240" w:lineRule="auto"/>
              <w:jc w:val="center"/>
              <w:rPr>
                <w:rFonts w:ascii="Times New Roman" w:eastAsia="Calibri" w:hAnsi="Times New Roman"/>
                <w:b/>
                <w:sz w:val="22"/>
                <w:szCs w:val="22"/>
              </w:rPr>
            </w:pPr>
            <w:r w:rsidRPr="007512ED">
              <w:rPr>
                <w:rFonts w:ascii="Times New Roman" w:eastAsia="Calibri" w:hAnsi="Times New Roman"/>
                <w:b/>
                <w:sz w:val="22"/>
                <w:szCs w:val="22"/>
              </w:rPr>
              <w:t>2</w:t>
            </w:r>
          </w:p>
        </w:tc>
        <w:tc>
          <w:tcPr>
            <w:tcW w:w="1766" w:type="dxa"/>
          </w:tcPr>
          <w:p w:rsidR="007512ED" w:rsidRPr="007512ED" w:rsidRDefault="007512ED" w:rsidP="007512ED">
            <w:pPr>
              <w:spacing w:after="0" w:line="240" w:lineRule="auto"/>
              <w:jc w:val="center"/>
              <w:rPr>
                <w:rFonts w:ascii="Times New Roman" w:eastAsia="Calibri" w:hAnsi="Times New Roman"/>
                <w:b/>
                <w:bCs/>
                <w:sz w:val="22"/>
                <w:szCs w:val="22"/>
              </w:rPr>
            </w:pPr>
          </w:p>
        </w:tc>
        <w:tc>
          <w:tcPr>
            <w:tcW w:w="3969" w:type="dxa"/>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3</w:t>
            </w:r>
          </w:p>
        </w:tc>
        <w:tc>
          <w:tcPr>
            <w:tcW w:w="993" w:type="dxa"/>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4</w:t>
            </w:r>
          </w:p>
        </w:tc>
        <w:tc>
          <w:tcPr>
            <w:tcW w:w="708" w:type="dxa"/>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eastAsia="Calibri" w:hAnsi="Times New Roman"/>
                <w:b/>
                <w:bCs/>
                <w:sz w:val="22"/>
                <w:szCs w:val="22"/>
              </w:rPr>
              <w:t>5</w:t>
            </w:r>
          </w:p>
        </w:tc>
      </w:tr>
      <w:tr w:rsidR="007512ED" w:rsidRPr="00BE0875" w:rsidTr="00B6152E">
        <w:trPr>
          <w:trHeight w:val="1508"/>
        </w:trPr>
        <w:tc>
          <w:tcPr>
            <w:tcW w:w="724" w:type="dxa"/>
            <w:shd w:val="clear" w:color="auto" w:fill="auto"/>
            <w:noWrap/>
            <w:vAlign w:val="center"/>
          </w:tcPr>
          <w:p w:rsidR="007512ED" w:rsidRPr="007512ED" w:rsidRDefault="007512ED" w:rsidP="007512ED">
            <w:pPr>
              <w:spacing w:after="0" w:line="240" w:lineRule="auto"/>
              <w:jc w:val="center"/>
              <w:rPr>
                <w:rFonts w:ascii="Times New Roman" w:eastAsia="Calibri" w:hAnsi="Times New Roman"/>
                <w:sz w:val="22"/>
                <w:szCs w:val="22"/>
              </w:rPr>
            </w:pPr>
            <w:r w:rsidRPr="007512ED">
              <w:rPr>
                <w:rFonts w:ascii="Times New Roman" w:eastAsia="Calibri" w:hAnsi="Times New Roman"/>
                <w:sz w:val="22"/>
                <w:szCs w:val="22"/>
              </w:rPr>
              <w:t>1.</w:t>
            </w:r>
          </w:p>
          <w:p w:rsidR="007512ED" w:rsidRPr="007512ED" w:rsidRDefault="007512ED" w:rsidP="007512ED">
            <w:pPr>
              <w:spacing w:after="0" w:line="240" w:lineRule="auto"/>
              <w:jc w:val="center"/>
              <w:rPr>
                <w:rFonts w:ascii="Times New Roman" w:eastAsia="Calibri" w:hAnsi="Times New Roman"/>
                <w:sz w:val="22"/>
                <w:szCs w:val="22"/>
              </w:rPr>
            </w:pPr>
          </w:p>
        </w:tc>
        <w:tc>
          <w:tcPr>
            <w:tcW w:w="2013" w:type="dxa"/>
            <w:shd w:val="clear" w:color="auto" w:fill="auto"/>
            <w:noWrap/>
            <w:vAlign w:val="center"/>
          </w:tcPr>
          <w:p w:rsidR="007512ED" w:rsidRPr="007512ED" w:rsidRDefault="007512ED" w:rsidP="007512ED">
            <w:pPr>
              <w:spacing w:after="0" w:line="240" w:lineRule="auto"/>
              <w:rPr>
                <w:rFonts w:ascii="Times New Roman" w:hAnsi="Times New Roman"/>
                <w:color w:val="000000"/>
                <w:sz w:val="22"/>
                <w:szCs w:val="22"/>
              </w:rPr>
            </w:pPr>
            <w:r w:rsidRPr="007512ED">
              <w:rPr>
                <w:rFonts w:ascii="Times New Roman" w:hAnsi="Times New Roman"/>
                <w:color w:val="000000"/>
                <w:sz w:val="22"/>
                <w:szCs w:val="22"/>
              </w:rPr>
              <w:t xml:space="preserve">Перекись водорода техническая , А  </w:t>
            </w:r>
          </w:p>
          <w:p w:rsidR="007512ED" w:rsidRPr="007512ED" w:rsidRDefault="007512ED" w:rsidP="007512ED">
            <w:pPr>
              <w:spacing w:after="0" w:line="240" w:lineRule="auto"/>
              <w:rPr>
                <w:rFonts w:ascii="Times New Roman" w:hAnsi="Times New Roman"/>
                <w:color w:val="000000"/>
                <w:sz w:val="22"/>
                <w:szCs w:val="22"/>
              </w:rPr>
            </w:pPr>
          </w:p>
          <w:p w:rsidR="007512ED" w:rsidRPr="007512ED" w:rsidRDefault="007512ED" w:rsidP="007512ED">
            <w:pPr>
              <w:spacing w:after="0" w:line="240" w:lineRule="auto"/>
              <w:rPr>
                <w:rFonts w:ascii="Times New Roman" w:eastAsia="Calibri" w:hAnsi="Times New Roman"/>
                <w:b/>
                <w:sz w:val="22"/>
                <w:szCs w:val="22"/>
              </w:rPr>
            </w:pPr>
          </w:p>
        </w:tc>
        <w:tc>
          <w:tcPr>
            <w:tcW w:w="1766" w:type="dxa"/>
            <w:vAlign w:val="center"/>
          </w:tcPr>
          <w:p w:rsidR="007512ED" w:rsidRPr="007512ED" w:rsidRDefault="007512ED" w:rsidP="007512ED">
            <w:pPr>
              <w:spacing w:after="0" w:line="240" w:lineRule="auto"/>
              <w:jc w:val="center"/>
              <w:rPr>
                <w:rFonts w:ascii="Times New Roman" w:hAnsi="Times New Roman"/>
                <w:sz w:val="22"/>
                <w:szCs w:val="22"/>
              </w:rPr>
            </w:pPr>
            <w:r w:rsidRPr="007512ED">
              <w:rPr>
                <w:rFonts w:ascii="Times New Roman" w:hAnsi="Times New Roman"/>
                <w:color w:val="000000"/>
                <w:sz w:val="22"/>
                <w:szCs w:val="22"/>
              </w:rPr>
              <w:t>ГОСТ 177-88</w:t>
            </w:r>
          </w:p>
        </w:tc>
        <w:tc>
          <w:tcPr>
            <w:tcW w:w="3969" w:type="dxa"/>
          </w:tcPr>
          <w:p w:rsidR="007512ED" w:rsidRPr="007512ED" w:rsidRDefault="007512ED" w:rsidP="007512ED">
            <w:pPr>
              <w:spacing w:after="0" w:line="240" w:lineRule="auto"/>
              <w:jc w:val="center"/>
              <w:rPr>
                <w:rFonts w:ascii="Times New Roman" w:hAnsi="Times New Roman"/>
                <w:sz w:val="22"/>
                <w:szCs w:val="22"/>
              </w:rPr>
            </w:pPr>
            <w:r w:rsidRPr="007512ED">
              <w:rPr>
                <w:rFonts w:ascii="Times New Roman" w:hAnsi="Times New Roman"/>
                <w:sz w:val="22"/>
                <w:szCs w:val="22"/>
              </w:rPr>
              <w:t xml:space="preserve">Бесцветная прозрачная жидкость; массовая доля водорода 30-40%; </w:t>
            </w:r>
          </w:p>
          <w:p w:rsidR="007512ED" w:rsidRPr="007512ED" w:rsidRDefault="007512ED" w:rsidP="007512ED">
            <w:pPr>
              <w:spacing w:after="0" w:line="240" w:lineRule="auto"/>
              <w:jc w:val="center"/>
              <w:rPr>
                <w:rFonts w:ascii="Times New Roman" w:hAnsi="Times New Roman"/>
                <w:sz w:val="22"/>
                <w:szCs w:val="22"/>
              </w:rPr>
            </w:pPr>
            <w:r w:rsidRPr="007512ED">
              <w:rPr>
                <w:rFonts w:ascii="Times New Roman" w:hAnsi="Times New Roman"/>
                <w:sz w:val="22"/>
                <w:szCs w:val="22"/>
              </w:rPr>
              <w:t xml:space="preserve">Массовая концентрация серной кислоты ,г/дм³ , не более 0,30 </w:t>
            </w:r>
          </w:p>
          <w:p w:rsidR="007512ED" w:rsidRPr="007512ED" w:rsidRDefault="007512ED" w:rsidP="007512ED">
            <w:pPr>
              <w:spacing w:after="0" w:line="240" w:lineRule="auto"/>
              <w:jc w:val="center"/>
              <w:rPr>
                <w:rFonts w:ascii="Times New Roman" w:hAnsi="Times New Roman"/>
                <w:sz w:val="22"/>
                <w:szCs w:val="22"/>
              </w:rPr>
            </w:pPr>
            <w:r w:rsidRPr="007512ED">
              <w:rPr>
                <w:rFonts w:ascii="Times New Roman" w:hAnsi="Times New Roman"/>
                <w:sz w:val="22"/>
                <w:szCs w:val="22"/>
              </w:rPr>
              <w:t>Массовая концентрация не летучего остатка,   г/дм³ , не более 0,6</w:t>
            </w:r>
          </w:p>
          <w:p w:rsidR="007512ED" w:rsidRPr="007512ED" w:rsidRDefault="007512ED" w:rsidP="007512ED">
            <w:pPr>
              <w:spacing w:after="0" w:line="240" w:lineRule="auto"/>
              <w:jc w:val="center"/>
              <w:rPr>
                <w:rFonts w:ascii="Times New Roman" w:hAnsi="Times New Roman"/>
                <w:sz w:val="22"/>
                <w:szCs w:val="22"/>
              </w:rPr>
            </w:pPr>
            <w:r w:rsidRPr="007512ED">
              <w:rPr>
                <w:rFonts w:ascii="Times New Roman" w:hAnsi="Times New Roman"/>
                <w:sz w:val="22"/>
                <w:szCs w:val="22"/>
              </w:rPr>
              <w:t>Содержание мышьяка – должна выдерживать испытания по п.3.6 ГОСТ 177-88,</w:t>
            </w:r>
          </w:p>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hAnsi="Times New Roman"/>
                <w:sz w:val="22"/>
                <w:szCs w:val="22"/>
              </w:rPr>
              <w:t>тара из полиэтилена высокого давления объемом 30л.</w:t>
            </w:r>
          </w:p>
        </w:tc>
        <w:tc>
          <w:tcPr>
            <w:tcW w:w="993" w:type="dxa"/>
            <w:vAlign w:val="center"/>
          </w:tcPr>
          <w:p w:rsidR="007512ED" w:rsidRPr="007512ED" w:rsidRDefault="007512ED" w:rsidP="007512ED">
            <w:pPr>
              <w:spacing w:after="0" w:line="240" w:lineRule="auto"/>
              <w:jc w:val="center"/>
              <w:rPr>
                <w:rFonts w:ascii="Times New Roman" w:eastAsia="Calibri" w:hAnsi="Times New Roman"/>
                <w:b/>
                <w:bCs/>
                <w:sz w:val="22"/>
                <w:szCs w:val="22"/>
              </w:rPr>
            </w:pPr>
            <w:r w:rsidRPr="007512ED">
              <w:rPr>
                <w:rFonts w:ascii="Times New Roman" w:hAnsi="Times New Roman"/>
                <w:sz w:val="22"/>
                <w:szCs w:val="22"/>
              </w:rPr>
              <w:t>700</w:t>
            </w:r>
          </w:p>
        </w:tc>
        <w:tc>
          <w:tcPr>
            <w:tcW w:w="708"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t>кг</w:t>
            </w:r>
          </w:p>
        </w:tc>
      </w:tr>
      <w:tr w:rsidR="007512ED" w:rsidRPr="00BE0875" w:rsidTr="00B6152E">
        <w:trPr>
          <w:trHeight w:val="1273"/>
        </w:trPr>
        <w:tc>
          <w:tcPr>
            <w:tcW w:w="724" w:type="dxa"/>
            <w:shd w:val="clear" w:color="auto" w:fill="auto"/>
            <w:noWrap/>
            <w:vAlign w:val="center"/>
          </w:tcPr>
          <w:p w:rsidR="007512ED" w:rsidRPr="007512ED" w:rsidRDefault="007512ED" w:rsidP="007512ED">
            <w:pPr>
              <w:spacing w:after="0" w:line="240" w:lineRule="auto"/>
              <w:jc w:val="center"/>
              <w:rPr>
                <w:rFonts w:ascii="Times New Roman" w:eastAsia="Calibri" w:hAnsi="Times New Roman"/>
                <w:sz w:val="22"/>
                <w:szCs w:val="22"/>
              </w:rPr>
            </w:pPr>
            <w:r w:rsidRPr="007512ED">
              <w:rPr>
                <w:rFonts w:ascii="Times New Roman" w:eastAsia="Calibri" w:hAnsi="Times New Roman"/>
                <w:sz w:val="22"/>
                <w:szCs w:val="22"/>
              </w:rPr>
              <w:t>2.</w:t>
            </w:r>
          </w:p>
        </w:tc>
        <w:tc>
          <w:tcPr>
            <w:tcW w:w="2013" w:type="dxa"/>
            <w:shd w:val="clear" w:color="auto" w:fill="auto"/>
            <w:noWrap/>
            <w:vAlign w:val="center"/>
          </w:tcPr>
          <w:p w:rsidR="007512ED" w:rsidRPr="007512ED" w:rsidRDefault="007512ED" w:rsidP="007512ED">
            <w:pPr>
              <w:spacing w:after="0" w:line="240" w:lineRule="auto"/>
              <w:rPr>
                <w:rFonts w:ascii="Times New Roman" w:eastAsia="Calibri" w:hAnsi="Times New Roman"/>
                <w:b/>
                <w:sz w:val="22"/>
                <w:szCs w:val="22"/>
              </w:rPr>
            </w:pPr>
            <w:r w:rsidRPr="007512ED">
              <w:rPr>
                <w:rFonts w:ascii="Times New Roman" w:hAnsi="Times New Roman"/>
                <w:color w:val="000000"/>
                <w:sz w:val="22"/>
                <w:szCs w:val="22"/>
              </w:rPr>
              <w:t xml:space="preserve">Кальция гидроокись, чда </w:t>
            </w:r>
          </w:p>
        </w:tc>
        <w:tc>
          <w:tcPr>
            <w:tcW w:w="1766" w:type="dxa"/>
            <w:vAlign w:val="center"/>
          </w:tcPr>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color w:val="000000"/>
                <w:sz w:val="22"/>
                <w:szCs w:val="22"/>
              </w:rPr>
              <w:t>ГОСТ 9262-77</w:t>
            </w:r>
          </w:p>
        </w:tc>
        <w:tc>
          <w:tcPr>
            <w:tcW w:w="3969" w:type="dxa"/>
          </w:tcPr>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 xml:space="preserve">Внешний вид: Сухой белый порошок, слипающийся в комки, слабо растворимый в воде, легко растворимый в разбавленных соляной и азотной кислотах. По физико- химическим показателям должен соответствовать требованиям и нормам ГОСТ 9262-77. </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массовая доля гидроокиси кальция (Са(ОН)2,% , не менее 97;</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 xml:space="preserve">массовая доля углекислого кальция (СаСО3), %, не более1,5; </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 xml:space="preserve">массовая доля нерастворимыхв  соляной кислоте веществ, % , не более 0,008; </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массовая доля сультфатов (</w:t>
            </w:r>
            <w:r w:rsidRPr="007512ED">
              <w:rPr>
                <w:rFonts w:ascii="Times New Roman" w:hAnsi="Times New Roman"/>
                <w:color w:val="000000"/>
                <w:sz w:val="22"/>
                <w:szCs w:val="22"/>
                <w:lang w:val="en-US"/>
              </w:rPr>
              <w:t>S</w:t>
            </w:r>
            <w:r w:rsidRPr="007512ED">
              <w:rPr>
                <w:rFonts w:ascii="Times New Roman" w:hAnsi="Times New Roman"/>
                <w:color w:val="000000"/>
                <w:sz w:val="22"/>
                <w:szCs w:val="22"/>
              </w:rPr>
              <w:t>О4), %, не более 0,01;</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массовая доля хлоридов (С</w:t>
            </w:r>
            <w:r w:rsidRPr="007512ED">
              <w:rPr>
                <w:rFonts w:ascii="Times New Roman" w:hAnsi="Times New Roman"/>
                <w:color w:val="000000"/>
                <w:sz w:val="22"/>
                <w:szCs w:val="22"/>
                <w:lang w:val="en-US"/>
              </w:rPr>
              <w:t>l</w:t>
            </w:r>
            <w:r w:rsidRPr="007512ED">
              <w:rPr>
                <w:rFonts w:ascii="Times New Roman" w:hAnsi="Times New Roman"/>
                <w:color w:val="000000"/>
                <w:sz w:val="22"/>
                <w:szCs w:val="22"/>
              </w:rPr>
              <w:t>),% , не более 0,005;</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lastRenderedPageBreak/>
              <w:t>массовая доля общего азота (</w:t>
            </w:r>
            <w:r w:rsidRPr="007512ED">
              <w:rPr>
                <w:rFonts w:ascii="Times New Roman" w:hAnsi="Times New Roman"/>
                <w:color w:val="000000"/>
                <w:sz w:val="22"/>
                <w:szCs w:val="22"/>
                <w:lang w:val="en-US"/>
              </w:rPr>
              <w:t>N</w:t>
            </w:r>
            <w:r w:rsidRPr="007512ED">
              <w:rPr>
                <w:rFonts w:ascii="Times New Roman" w:hAnsi="Times New Roman"/>
                <w:color w:val="000000"/>
                <w:sz w:val="22"/>
                <w:szCs w:val="22"/>
              </w:rPr>
              <w:t xml:space="preserve">),%, не более 0,05; </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массовая доля железа (</w:t>
            </w:r>
            <w:r w:rsidRPr="007512ED">
              <w:rPr>
                <w:rFonts w:ascii="Times New Roman" w:hAnsi="Times New Roman"/>
                <w:color w:val="000000"/>
                <w:sz w:val="22"/>
                <w:szCs w:val="22"/>
                <w:lang w:val="en-US"/>
              </w:rPr>
              <w:t>Fe</w:t>
            </w:r>
            <w:r w:rsidRPr="007512ED">
              <w:rPr>
                <w:rFonts w:ascii="Times New Roman" w:hAnsi="Times New Roman"/>
                <w:color w:val="000000"/>
                <w:sz w:val="22"/>
                <w:szCs w:val="22"/>
              </w:rPr>
              <w:t>). %, не более 0,01;</w:t>
            </w:r>
          </w:p>
          <w:p w:rsidR="007512ED" w:rsidRPr="007512ED" w:rsidRDefault="007512ED" w:rsidP="007512ED">
            <w:pPr>
              <w:spacing w:after="0" w:line="240" w:lineRule="auto"/>
              <w:jc w:val="both"/>
              <w:rPr>
                <w:rFonts w:ascii="Times New Roman" w:hAnsi="Times New Roman"/>
                <w:color w:val="000000"/>
                <w:sz w:val="22"/>
                <w:szCs w:val="22"/>
              </w:rPr>
            </w:pPr>
            <w:r w:rsidRPr="007512ED">
              <w:rPr>
                <w:rFonts w:ascii="Times New Roman" w:hAnsi="Times New Roman"/>
                <w:color w:val="000000"/>
                <w:sz w:val="22"/>
                <w:szCs w:val="22"/>
              </w:rPr>
              <w:t>массовая доля тяжелых металлов (</w:t>
            </w:r>
            <w:r w:rsidRPr="007512ED">
              <w:rPr>
                <w:rFonts w:ascii="Times New Roman" w:hAnsi="Times New Roman"/>
                <w:color w:val="000000"/>
                <w:sz w:val="22"/>
                <w:szCs w:val="22"/>
                <w:lang w:val="en-US"/>
              </w:rPr>
              <w:t>Pb</w:t>
            </w:r>
            <w:r w:rsidRPr="007512ED">
              <w:rPr>
                <w:rFonts w:ascii="Times New Roman" w:hAnsi="Times New Roman"/>
                <w:color w:val="000000"/>
                <w:sz w:val="22"/>
                <w:szCs w:val="22"/>
              </w:rPr>
              <w:t>), не более 0,003; массовая доля магния(</w:t>
            </w:r>
            <w:r w:rsidRPr="007512ED">
              <w:rPr>
                <w:rFonts w:ascii="Times New Roman" w:hAnsi="Times New Roman"/>
                <w:color w:val="000000"/>
                <w:sz w:val="22"/>
                <w:szCs w:val="22"/>
                <w:lang w:val="en-US"/>
              </w:rPr>
              <w:t>Mg</w:t>
            </w:r>
            <w:r w:rsidRPr="007512ED">
              <w:rPr>
                <w:rFonts w:ascii="Times New Roman" w:hAnsi="Times New Roman"/>
                <w:color w:val="000000"/>
                <w:sz w:val="22"/>
                <w:szCs w:val="22"/>
              </w:rPr>
              <w:t>), % , не более 0,05;</w:t>
            </w:r>
          </w:p>
          <w:p w:rsidR="007512ED" w:rsidRPr="007512ED" w:rsidRDefault="007512ED" w:rsidP="007512ED">
            <w:pPr>
              <w:spacing w:after="0" w:line="240" w:lineRule="auto"/>
              <w:contextualSpacing/>
              <w:jc w:val="center"/>
              <w:rPr>
                <w:rFonts w:ascii="Times New Roman" w:eastAsia="Calibri" w:hAnsi="Times New Roman"/>
                <w:b/>
                <w:sz w:val="22"/>
                <w:szCs w:val="22"/>
                <w:lang w:val="x-none"/>
              </w:rPr>
            </w:pPr>
            <w:r w:rsidRPr="007512ED">
              <w:rPr>
                <w:rFonts w:ascii="Times New Roman" w:hAnsi="Times New Roman"/>
                <w:color w:val="000000"/>
                <w:sz w:val="22"/>
                <w:szCs w:val="22"/>
              </w:rPr>
              <w:t>массовая доля суммы калия и натрия (</w:t>
            </w:r>
            <w:r w:rsidRPr="007512ED">
              <w:rPr>
                <w:rFonts w:ascii="Times New Roman" w:hAnsi="Times New Roman"/>
                <w:color w:val="000000"/>
                <w:sz w:val="22"/>
                <w:szCs w:val="22"/>
                <w:lang w:val="en-US"/>
              </w:rPr>
              <w:t>K</w:t>
            </w:r>
            <w:r w:rsidRPr="007512ED">
              <w:rPr>
                <w:rFonts w:ascii="Times New Roman" w:hAnsi="Times New Roman"/>
                <w:color w:val="000000"/>
                <w:sz w:val="22"/>
                <w:szCs w:val="22"/>
              </w:rPr>
              <w:t>+</w:t>
            </w:r>
            <w:r w:rsidRPr="007512ED">
              <w:rPr>
                <w:rFonts w:ascii="Times New Roman" w:hAnsi="Times New Roman"/>
                <w:color w:val="000000"/>
                <w:sz w:val="22"/>
                <w:szCs w:val="22"/>
                <w:lang w:val="en-US"/>
              </w:rPr>
              <w:t>Na</w:t>
            </w:r>
            <w:r w:rsidRPr="007512ED">
              <w:rPr>
                <w:rFonts w:ascii="Times New Roman" w:hAnsi="Times New Roman"/>
                <w:color w:val="000000"/>
                <w:sz w:val="22"/>
                <w:szCs w:val="22"/>
              </w:rPr>
              <w:t>), %, не более 0,5</w:t>
            </w:r>
            <w:r w:rsidRPr="007512ED">
              <w:rPr>
                <w:rFonts w:ascii="Times New Roman" w:hAnsi="Times New Roman"/>
                <w:sz w:val="22"/>
                <w:szCs w:val="22"/>
              </w:rPr>
              <w:t xml:space="preserve"> </w:t>
            </w:r>
          </w:p>
        </w:tc>
        <w:tc>
          <w:tcPr>
            <w:tcW w:w="993"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lastRenderedPageBreak/>
              <w:t>600</w:t>
            </w:r>
          </w:p>
        </w:tc>
        <w:tc>
          <w:tcPr>
            <w:tcW w:w="708"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t>кг</w:t>
            </w:r>
          </w:p>
        </w:tc>
      </w:tr>
      <w:tr w:rsidR="007512ED" w:rsidRPr="00BE0875" w:rsidTr="00B6152E">
        <w:trPr>
          <w:trHeight w:val="981"/>
        </w:trPr>
        <w:tc>
          <w:tcPr>
            <w:tcW w:w="724" w:type="dxa"/>
            <w:shd w:val="clear" w:color="auto" w:fill="auto"/>
            <w:noWrap/>
            <w:vAlign w:val="center"/>
          </w:tcPr>
          <w:p w:rsidR="007512ED" w:rsidRPr="007512ED" w:rsidRDefault="007512ED" w:rsidP="007512ED">
            <w:pPr>
              <w:spacing w:after="0" w:line="240" w:lineRule="auto"/>
              <w:jc w:val="center"/>
              <w:rPr>
                <w:rFonts w:ascii="Times New Roman" w:eastAsia="Calibri" w:hAnsi="Times New Roman"/>
                <w:sz w:val="22"/>
                <w:szCs w:val="22"/>
              </w:rPr>
            </w:pPr>
            <w:r w:rsidRPr="007512ED">
              <w:rPr>
                <w:rFonts w:ascii="Times New Roman" w:eastAsia="Calibri" w:hAnsi="Times New Roman"/>
                <w:sz w:val="22"/>
                <w:szCs w:val="22"/>
              </w:rPr>
              <w:t>3.</w:t>
            </w:r>
          </w:p>
        </w:tc>
        <w:tc>
          <w:tcPr>
            <w:tcW w:w="2013" w:type="dxa"/>
            <w:shd w:val="clear" w:color="auto" w:fill="auto"/>
            <w:noWrap/>
            <w:vAlign w:val="center"/>
          </w:tcPr>
          <w:p w:rsidR="007512ED" w:rsidRPr="007512ED" w:rsidRDefault="007512ED" w:rsidP="007512ED">
            <w:pPr>
              <w:spacing w:after="0" w:line="240" w:lineRule="auto"/>
              <w:rPr>
                <w:rFonts w:ascii="Times New Roman" w:hAnsi="Times New Roman"/>
                <w:color w:val="000000"/>
                <w:sz w:val="22"/>
                <w:szCs w:val="22"/>
              </w:rPr>
            </w:pPr>
            <w:r w:rsidRPr="007512ED">
              <w:rPr>
                <w:rFonts w:ascii="Times New Roman" w:hAnsi="Times New Roman"/>
                <w:color w:val="000000"/>
                <w:sz w:val="22"/>
                <w:szCs w:val="22"/>
              </w:rPr>
              <w:t xml:space="preserve">Натрия гипохлорит, марка А </w:t>
            </w:r>
          </w:p>
        </w:tc>
        <w:tc>
          <w:tcPr>
            <w:tcW w:w="1766" w:type="dxa"/>
            <w:vAlign w:val="center"/>
          </w:tcPr>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color w:val="000000"/>
                <w:sz w:val="22"/>
                <w:szCs w:val="22"/>
              </w:rPr>
              <w:t>ГОСТ 11086-76</w:t>
            </w:r>
          </w:p>
        </w:tc>
        <w:tc>
          <w:tcPr>
            <w:tcW w:w="3969" w:type="dxa"/>
          </w:tcPr>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Внешний вид: жидкость зеленовато-желтого цвета. По физико- химическим показателям должен соответствовать требованиям и нормам ГОСТ 11086-76.</w:t>
            </w:r>
          </w:p>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 xml:space="preserve">Коэффициент светопропускания , % , </w:t>
            </w:r>
          </w:p>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не менее-20;</w:t>
            </w:r>
          </w:p>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Массовая концентрация активного хлора ,г/дм³, не менее-190;</w:t>
            </w:r>
          </w:p>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 xml:space="preserve">Массовая концентрация щелочи в пересчете на </w:t>
            </w:r>
            <w:r w:rsidRPr="007512ED">
              <w:rPr>
                <w:rFonts w:ascii="Times New Roman" w:hAnsi="Times New Roman"/>
                <w:sz w:val="22"/>
                <w:szCs w:val="22"/>
                <w:lang w:val="en-US"/>
              </w:rPr>
              <w:t>NaOH</w:t>
            </w:r>
            <w:r w:rsidRPr="007512ED">
              <w:rPr>
                <w:rFonts w:ascii="Times New Roman" w:hAnsi="Times New Roman"/>
                <w:sz w:val="22"/>
                <w:szCs w:val="22"/>
              </w:rPr>
              <w:t>, г/дм³ -10-20;</w:t>
            </w:r>
          </w:p>
          <w:p w:rsidR="007512ED" w:rsidRPr="007512ED" w:rsidRDefault="007512ED" w:rsidP="007512ED">
            <w:pPr>
              <w:spacing w:after="0" w:line="240" w:lineRule="auto"/>
              <w:contextualSpacing/>
              <w:jc w:val="center"/>
              <w:rPr>
                <w:rFonts w:ascii="Times New Roman" w:hAnsi="Times New Roman"/>
                <w:sz w:val="22"/>
                <w:szCs w:val="22"/>
              </w:rPr>
            </w:pPr>
            <w:r w:rsidRPr="007512ED">
              <w:rPr>
                <w:rFonts w:ascii="Times New Roman" w:hAnsi="Times New Roman"/>
                <w:sz w:val="22"/>
                <w:szCs w:val="22"/>
              </w:rPr>
              <w:t>Массовая концентрация железа , г/дм³, не более- 0,02</w:t>
            </w:r>
          </w:p>
          <w:p w:rsidR="007512ED" w:rsidRPr="007512ED" w:rsidRDefault="007512ED" w:rsidP="007512ED">
            <w:pPr>
              <w:spacing w:after="0" w:line="240" w:lineRule="auto"/>
              <w:contextualSpacing/>
              <w:jc w:val="center"/>
              <w:rPr>
                <w:rFonts w:ascii="Times New Roman" w:eastAsia="Calibri" w:hAnsi="Times New Roman"/>
                <w:b/>
                <w:sz w:val="22"/>
                <w:szCs w:val="22"/>
                <w:lang w:val="x-none"/>
              </w:rPr>
            </w:pPr>
            <w:r w:rsidRPr="007512ED">
              <w:rPr>
                <w:rFonts w:ascii="Times New Roman" w:hAnsi="Times New Roman"/>
                <w:sz w:val="22"/>
                <w:szCs w:val="22"/>
              </w:rPr>
              <w:t xml:space="preserve"> Вид и тип тары: полиэтиленовые емкости объемом 20л.</w:t>
            </w:r>
          </w:p>
        </w:tc>
        <w:tc>
          <w:tcPr>
            <w:tcW w:w="993"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t>400</w:t>
            </w:r>
          </w:p>
        </w:tc>
        <w:tc>
          <w:tcPr>
            <w:tcW w:w="708"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t>кг</w:t>
            </w:r>
          </w:p>
        </w:tc>
      </w:tr>
      <w:tr w:rsidR="007512ED" w:rsidRPr="00BE0875" w:rsidTr="00B6152E">
        <w:trPr>
          <w:trHeight w:val="983"/>
        </w:trPr>
        <w:tc>
          <w:tcPr>
            <w:tcW w:w="724" w:type="dxa"/>
            <w:shd w:val="clear" w:color="auto" w:fill="auto"/>
            <w:noWrap/>
            <w:vAlign w:val="center"/>
          </w:tcPr>
          <w:p w:rsidR="007512ED" w:rsidRPr="007512ED" w:rsidRDefault="007512ED" w:rsidP="007512ED">
            <w:pPr>
              <w:spacing w:after="0" w:line="240" w:lineRule="auto"/>
              <w:jc w:val="center"/>
              <w:rPr>
                <w:rFonts w:ascii="Times New Roman" w:eastAsia="Calibri" w:hAnsi="Times New Roman"/>
                <w:sz w:val="22"/>
                <w:szCs w:val="22"/>
              </w:rPr>
            </w:pPr>
            <w:r w:rsidRPr="007512ED">
              <w:rPr>
                <w:rFonts w:ascii="Times New Roman" w:eastAsia="Calibri" w:hAnsi="Times New Roman"/>
                <w:sz w:val="22"/>
                <w:szCs w:val="22"/>
              </w:rPr>
              <w:t>4.</w:t>
            </w:r>
          </w:p>
        </w:tc>
        <w:tc>
          <w:tcPr>
            <w:tcW w:w="2013" w:type="dxa"/>
            <w:shd w:val="clear" w:color="auto" w:fill="auto"/>
            <w:noWrap/>
            <w:vAlign w:val="center"/>
          </w:tcPr>
          <w:p w:rsidR="007512ED" w:rsidRPr="007512ED" w:rsidRDefault="007512ED" w:rsidP="007512ED">
            <w:pPr>
              <w:spacing w:after="0" w:line="240" w:lineRule="auto"/>
              <w:rPr>
                <w:rFonts w:ascii="Times New Roman" w:hAnsi="Times New Roman"/>
                <w:color w:val="000000"/>
                <w:sz w:val="22"/>
                <w:szCs w:val="22"/>
              </w:rPr>
            </w:pPr>
            <w:r w:rsidRPr="007512ED">
              <w:rPr>
                <w:rFonts w:ascii="Times New Roman" w:hAnsi="Times New Roman"/>
                <w:color w:val="000000"/>
                <w:sz w:val="22"/>
                <w:szCs w:val="22"/>
              </w:rPr>
              <w:t xml:space="preserve">Натрий едкий ,46% раствор (фасовка 30л.), высший сорт, </w:t>
            </w:r>
          </w:p>
        </w:tc>
        <w:tc>
          <w:tcPr>
            <w:tcW w:w="1766" w:type="dxa"/>
            <w:vAlign w:val="center"/>
          </w:tcPr>
          <w:p w:rsidR="007512ED" w:rsidRPr="007512ED" w:rsidRDefault="007512ED" w:rsidP="007512ED">
            <w:pPr>
              <w:pStyle w:val="afff4"/>
              <w:shd w:val="clear" w:color="auto" w:fill="FFFFFF"/>
              <w:jc w:val="center"/>
              <w:rPr>
                <w:sz w:val="22"/>
                <w:szCs w:val="22"/>
              </w:rPr>
            </w:pPr>
            <w:r w:rsidRPr="007512ED">
              <w:rPr>
                <w:color w:val="000000"/>
                <w:sz w:val="22"/>
                <w:szCs w:val="22"/>
              </w:rPr>
              <w:t>ГОСТ Р 55064-2012</w:t>
            </w:r>
          </w:p>
        </w:tc>
        <w:tc>
          <w:tcPr>
            <w:tcW w:w="3969" w:type="dxa"/>
          </w:tcPr>
          <w:p w:rsidR="007512ED" w:rsidRPr="007512ED" w:rsidRDefault="007512ED" w:rsidP="007512ED">
            <w:pPr>
              <w:pStyle w:val="affffff8"/>
              <w:spacing w:after="0"/>
              <w:jc w:val="left"/>
              <w:rPr>
                <w:rFonts w:ascii="Times New Roman" w:hAnsi="Times New Roman"/>
                <w:sz w:val="22"/>
                <w:szCs w:val="22"/>
              </w:rPr>
            </w:pPr>
            <w:r w:rsidRPr="007512ED">
              <w:rPr>
                <w:rFonts w:ascii="Times New Roman" w:hAnsi="Times New Roman"/>
                <w:sz w:val="22"/>
                <w:szCs w:val="22"/>
              </w:rPr>
              <w:t>Внешний вид: раствор диафрагменный, получаемый из первичного диафрагменного раствора едкого натра (12%-15%), упариванием до 44%-50%). Внешний вид: бесцветная или окрашенная жидкость. Допускается выкристаллизованный осадок.</w:t>
            </w:r>
          </w:p>
          <w:p w:rsidR="007512ED" w:rsidRPr="007512ED" w:rsidRDefault="007512ED" w:rsidP="007512ED">
            <w:pPr>
              <w:pStyle w:val="affffff8"/>
              <w:spacing w:after="0"/>
              <w:jc w:val="left"/>
              <w:rPr>
                <w:rFonts w:ascii="Times New Roman" w:hAnsi="Times New Roman"/>
                <w:sz w:val="22"/>
                <w:szCs w:val="22"/>
              </w:rPr>
            </w:pPr>
            <w:r w:rsidRPr="007512ED">
              <w:rPr>
                <w:rFonts w:ascii="Times New Roman" w:hAnsi="Times New Roman"/>
                <w:sz w:val="22"/>
                <w:szCs w:val="22"/>
              </w:rPr>
              <w:t xml:space="preserve">Массовая доля гидроксида натрия,%, не менее 46; </w:t>
            </w:r>
          </w:p>
          <w:p w:rsidR="007512ED" w:rsidRPr="007512ED" w:rsidRDefault="007512ED" w:rsidP="007512ED">
            <w:pPr>
              <w:spacing w:after="0" w:line="240" w:lineRule="auto"/>
              <w:rPr>
                <w:rFonts w:ascii="Times New Roman" w:hAnsi="Times New Roman"/>
                <w:sz w:val="22"/>
                <w:szCs w:val="22"/>
              </w:rPr>
            </w:pPr>
            <w:r w:rsidRPr="007512ED">
              <w:rPr>
                <w:rFonts w:ascii="Times New Roman" w:hAnsi="Times New Roman"/>
                <w:sz w:val="22"/>
                <w:szCs w:val="22"/>
              </w:rPr>
              <w:t>Массовая доля карбоната натрия,%, не более 0,6;</w:t>
            </w:r>
          </w:p>
          <w:p w:rsidR="007512ED" w:rsidRPr="007512ED" w:rsidRDefault="007512ED" w:rsidP="007512ED">
            <w:pPr>
              <w:spacing w:after="0" w:line="240" w:lineRule="auto"/>
              <w:rPr>
                <w:rFonts w:ascii="Times New Roman" w:hAnsi="Times New Roman"/>
                <w:sz w:val="22"/>
                <w:szCs w:val="22"/>
              </w:rPr>
            </w:pPr>
            <w:r w:rsidRPr="007512ED">
              <w:rPr>
                <w:rFonts w:ascii="Times New Roman" w:hAnsi="Times New Roman"/>
                <w:sz w:val="22"/>
                <w:szCs w:val="22"/>
              </w:rPr>
              <w:t>Массовая доля хлорида натрия, %, не более 3,0;</w:t>
            </w:r>
          </w:p>
          <w:p w:rsidR="007512ED" w:rsidRPr="007512ED" w:rsidRDefault="007512ED" w:rsidP="007512ED">
            <w:pPr>
              <w:spacing w:after="0" w:line="240" w:lineRule="auto"/>
              <w:rPr>
                <w:rFonts w:ascii="Times New Roman" w:hAnsi="Times New Roman"/>
                <w:sz w:val="22"/>
                <w:szCs w:val="22"/>
              </w:rPr>
            </w:pPr>
            <w:r w:rsidRPr="007512ED">
              <w:rPr>
                <w:rFonts w:ascii="Times New Roman" w:hAnsi="Times New Roman"/>
                <w:sz w:val="22"/>
                <w:szCs w:val="22"/>
              </w:rPr>
              <w:t xml:space="preserve">Массовая доля железа  в пересчете на </w:t>
            </w:r>
            <w:r w:rsidRPr="007512ED">
              <w:rPr>
                <w:rFonts w:ascii="Times New Roman" w:hAnsi="Times New Roman"/>
                <w:sz w:val="22"/>
                <w:szCs w:val="22"/>
                <w:lang w:val="en-US"/>
              </w:rPr>
              <w:t>Fe</w:t>
            </w:r>
            <w:r w:rsidRPr="007512ED">
              <w:rPr>
                <w:rFonts w:ascii="Times New Roman" w:hAnsi="Times New Roman"/>
                <w:sz w:val="22"/>
                <w:szCs w:val="22"/>
              </w:rPr>
              <w:t>2</w:t>
            </w:r>
            <w:r w:rsidRPr="007512ED">
              <w:rPr>
                <w:rFonts w:ascii="Times New Roman" w:hAnsi="Times New Roman"/>
                <w:sz w:val="22"/>
                <w:szCs w:val="22"/>
                <w:lang w:val="en-US"/>
              </w:rPr>
              <w:t>O</w:t>
            </w:r>
            <w:r w:rsidRPr="007512ED">
              <w:rPr>
                <w:rFonts w:ascii="Times New Roman" w:hAnsi="Times New Roman"/>
                <w:sz w:val="22"/>
                <w:szCs w:val="22"/>
              </w:rPr>
              <w:t xml:space="preserve">3,%, не более 0.007( в пересчете на оксид железа </w:t>
            </w:r>
            <w:r w:rsidRPr="007512ED">
              <w:rPr>
                <w:rFonts w:ascii="Times New Roman" w:hAnsi="Times New Roman"/>
                <w:sz w:val="22"/>
                <w:szCs w:val="22"/>
                <w:lang w:val="en-US"/>
              </w:rPr>
              <w:t>III</w:t>
            </w:r>
            <w:r w:rsidRPr="007512ED">
              <w:rPr>
                <w:rFonts w:ascii="Times New Roman" w:hAnsi="Times New Roman"/>
                <w:sz w:val="22"/>
                <w:szCs w:val="22"/>
              </w:rPr>
              <w:t>);</w:t>
            </w:r>
          </w:p>
          <w:p w:rsidR="007512ED" w:rsidRPr="007512ED" w:rsidRDefault="007512ED" w:rsidP="007512ED">
            <w:pPr>
              <w:spacing w:after="0" w:line="240" w:lineRule="auto"/>
              <w:rPr>
                <w:rFonts w:ascii="Times New Roman" w:hAnsi="Times New Roman"/>
                <w:sz w:val="22"/>
                <w:szCs w:val="22"/>
              </w:rPr>
            </w:pPr>
            <w:r w:rsidRPr="007512ED">
              <w:rPr>
                <w:rFonts w:ascii="Times New Roman" w:hAnsi="Times New Roman"/>
                <w:sz w:val="22"/>
                <w:szCs w:val="22"/>
              </w:rPr>
              <w:t>Массовая доля хлорита натрия ,%, не более 0,25</w:t>
            </w:r>
          </w:p>
          <w:p w:rsidR="007512ED" w:rsidRPr="007512ED" w:rsidRDefault="007512ED" w:rsidP="007512ED">
            <w:pPr>
              <w:pStyle w:val="affffff8"/>
              <w:spacing w:after="0"/>
              <w:jc w:val="left"/>
              <w:rPr>
                <w:rFonts w:ascii="Times New Roman" w:eastAsia="Calibri" w:hAnsi="Times New Roman"/>
                <w:b/>
                <w:sz w:val="22"/>
                <w:szCs w:val="22"/>
                <w:lang w:val="x-none"/>
              </w:rPr>
            </w:pPr>
            <w:r w:rsidRPr="007512ED">
              <w:rPr>
                <w:rFonts w:ascii="Times New Roman" w:hAnsi="Times New Roman"/>
                <w:sz w:val="22"/>
                <w:szCs w:val="22"/>
              </w:rPr>
              <w:t xml:space="preserve"> Фасовка в полиэтиленовые емкости объемом 30л. </w:t>
            </w:r>
          </w:p>
        </w:tc>
        <w:tc>
          <w:tcPr>
            <w:tcW w:w="993"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t>2000</w:t>
            </w:r>
          </w:p>
        </w:tc>
        <w:tc>
          <w:tcPr>
            <w:tcW w:w="708" w:type="dxa"/>
            <w:vAlign w:val="center"/>
          </w:tcPr>
          <w:p w:rsidR="007512ED" w:rsidRPr="007512ED" w:rsidRDefault="007512ED" w:rsidP="007512ED">
            <w:pPr>
              <w:spacing w:after="0" w:line="240" w:lineRule="auto"/>
              <w:jc w:val="center"/>
              <w:rPr>
                <w:rFonts w:ascii="Times New Roman" w:eastAsia="Calibri" w:hAnsi="Times New Roman"/>
                <w:bCs/>
                <w:sz w:val="22"/>
                <w:szCs w:val="22"/>
              </w:rPr>
            </w:pPr>
            <w:r w:rsidRPr="007512ED">
              <w:rPr>
                <w:rFonts w:ascii="Times New Roman" w:eastAsia="Calibri" w:hAnsi="Times New Roman"/>
                <w:bCs/>
                <w:sz w:val="22"/>
                <w:szCs w:val="22"/>
              </w:rPr>
              <w:t>кг</w:t>
            </w:r>
          </w:p>
        </w:tc>
      </w:tr>
    </w:tbl>
    <w:p w:rsidR="00E5692A" w:rsidRPr="00BF7A61"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 xml:space="preserve">Мы ознакомлены </w:t>
      </w:r>
      <w:r w:rsidRPr="007737DD">
        <w:rPr>
          <w:rFonts w:ascii="Times New Roman" w:eastAsia="Times New Roman" w:hAnsi="Times New Roman"/>
          <w:sz w:val="22"/>
          <w:szCs w:val="22"/>
          <w:lang w:eastAsia="ru-RU"/>
        </w:rPr>
        <w:t>с материалами технического задания и проектом договора, влияющими на стоимость оказания услуг для Заказчика.</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b/>
          <w:sz w:val="22"/>
          <w:szCs w:val="22"/>
          <w:lang w:eastAsia="ru-RU"/>
        </w:rPr>
        <w:t>Мы подтверждаем:</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2"/>
          <w:szCs w:val="22"/>
          <w:lang w:eastAsia="ar-SA"/>
        </w:rPr>
      </w:pPr>
      <w:r w:rsidRPr="007737DD">
        <w:rPr>
          <w:rFonts w:ascii="Times New Roman" w:eastAsia="Times New Roman" w:hAnsi="Times New Roman"/>
          <w:spacing w:val="-4"/>
          <w:sz w:val="22"/>
          <w:szCs w:val="22"/>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shd w:val="clear" w:color="auto" w:fill="FFFFFF"/>
          <w:lang w:eastAsia="ru-RU"/>
        </w:rPr>
      </w:pPr>
      <w:r w:rsidRPr="007737DD">
        <w:rPr>
          <w:rFonts w:ascii="Times New Roman" w:eastAsia="Times New Roman" w:hAnsi="Times New Roman"/>
          <w:spacing w:val="-4"/>
          <w:sz w:val="22"/>
          <w:szCs w:val="22"/>
          <w:lang w:eastAsia="ru-RU"/>
        </w:rPr>
        <w:t>- н</w:t>
      </w:r>
      <w:r w:rsidRPr="007737DD">
        <w:rPr>
          <w:rFonts w:ascii="Times New Roman" w:eastAsia="Times New Roman" w:hAnsi="Times New Roman"/>
          <w:sz w:val="22"/>
          <w:szCs w:val="22"/>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737DD">
        <w:rPr>
          <w:rFonts w:ascii="Times New Roman" w:eastAsia="Times New Roman" w:hAnsi="Times New Roman"/>
          <w:sz w:val="22"/>
          <w:szCs w:val="22"/>
          <w:lang w:eastAsia="ru-RU"/>
        </w:rPr>
        <w:t>открытом запросе котировок в электронной форме</w:t>
      </w:r>
      <w:r w:rsidRPr="007737DD">
        <w:rPr>
          <w:rFonts w:ascii="Times New Roman" w:eastAsia="Times New Roman" w:hAnsi="Times New Roman"/>
          <w:sz w:val="22"/>
          <w:szCs w:val="22"/>
          <w:shd w:val="clear" w:color="auto" w:fill="FFFFFF"/>
          <w:lang w:eastAsia="ru-RU"/>
        </w:rPr>
        <w:t>, поданы от имени участника процедуры закупки, являются подлинными и достоверными.</w:t>
      </w:r>
    </w:p>
    <w:p w:rsidR="004F6B02" w:rsidRDefault="004F6B02" w:rsidP="001F2D75">
      <w:pPr>
        <w:autoSpaceDE w:val="0"/>
        <w:autoSpaceDN w:val="0"/>
        <w:adjustRightInd w:val="0"/>
        <w:spacing w:after="0" w:line="240" w:lineRule="auto"/>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pPr>
      <w:r>
        <w:rPr>
          <w:rFonts w:ascii="Times New Roman" w:hAnsi="Times New Roman"/>
          <w:b/>
          <w:iCs/>
          <w:snapToGrid w:val="0"/>
          <w:sz w:val="24"/>
          <w:szCs w:val="24"/>
        </w:rPr>
        <w:t>ПРЕДЛОЖЕНИЕ О ЦЕНЕ ДОГОВОРА</w:t>
      </w:r>
    </w:p>
    <w:tbl>
      <w:tblPr>
        <w:tblW w:w="10916" w:type="dxa"/>
        <w:tblInd w:w="-431" w:type="dxa"/>
        <w:tblLayout w:type="fixed"/>
        <w:tblLook w:val="04A0" w:firstRow="1" w:lastRow="0" w:firstColumn="1" w:lastColumn="0" w:noHBand="0" w:noVBand="1"/>
      </w:tblPr>
      <w:tblGrid>
        <w:gridCol w:w="568"/>
        <w:gridCol w:w="1701"/>
        <w:gridCol w:w="567"/>
        <w:gridCol w:w="1276"/>
        <w:gridCol w:w="4111"/>
        <w:gridCol w:w="567"/>
        <w:gridCol w:w="1134"/>
        <w:gridCol w:w="992"/>
      </w:tblGrid>
      <w:tr w:rsidR="007512ED" w:rsidRPr="00D13642" w:rsidTr="007512ED">
        <w:trPr>
          <w:trHeight w:val="718"/>
        </w:trPr>
        <w:tc>
          <w:tcPr>
            <w:tcW w:w="568" w:type="dxa"/>
            <w:tcBorders>
              <w:top w:val="single" w:sz="4" w:space="0" w:color="auto"/>
              <w:left w:val="single" w:sz="4" w:space="0" w:color="auto"/>
              <w:bottom w:val="nil"/>
              <w:right w:val="single" w:sz="4" w:space="0" w:color="auto"/>
            </w:tcBorders>
            <w:shd w:val="clear" w:color="auto" w:fill="auto"/>
            <w:hideMark/>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 п/п</w:t>
            </w:r>
          </w:p>
        </w:tc>
        <w:tc>
          <w:tcPr>
            <w:tcW w:w="1701" w:type="dxa"/>
            <w:tcBorders>
              <w:top w:val="single" w:sz="4" w:space="0" w:color="auto"/>
              <w:left w:val="single" w:sz="4" w:space="0" w:color="auto"/>
              <w:bottom w:val="single" w:sz="4" w:space="0" w:color="000000"/>
              <w:right w:val="single" w:sz="4" w:space="0" w:color="auto"/>
            </w:tcBorders>
            <w:shd w:val="clear" w:color="auto" w:fill="auto"/>
            <w:hideMark/>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Продукция</w:t>
            </w:r>
          </w:p>
        </w:tc>
        <w:tc>
          <w:tcPr>
            <w:tcW w:w="567" w:type="dxa"/>
            <w:tcBorders>
              <w:top w:val="single" w:sz="4" w:space="0" w:color="auto"/>
              <w:left w:val="single" w:sz="4" w:space="0" w:color="auto"/>
              <w:bottom w:val="nil"/>
              <w:right w:val="single" w:sz="4" w:space="0" w:color="auto"/>
            </w:tcBorders>
            <w:shd w:val="clear" w:color="auto" w:fill="auto"/>
            <w:hideMark/>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Ед. изм</w:t>
            </w:r>
          </w:p>
        </w:tc>
        <w:tc>
          <w:tcPr>
            <w:tcW w:w="1276" w:type="dxa"/>
            <w:tcBorders>
              <w:top w:val="single" w:sz="4" w:space="0" w:color="auto"/>
              <w:left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Страна происхождения</w:t>
            </w:r>
          </w:p>
        </w:tc>
        <w:tc>
          <w:tcPr>
            <w:tcW w:w="4111" w:type="dxa"/>
            <w:tcBorders>
              <w:top w:val="single" w:sz="4" w:space="0" w:color="auto"/>
              <w:left w:val="single" w:sz="4" w:space="0" w:color="auto"/>
              <w:bottom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Характеристики</w:t>
            </w:r>
          </w:p>
        </w:tc>
        <w:tc>
          <w:tcPr>
            <w:tcW w:w="567" w:type="dxa"/>
            <w:tcBorders>
              <w:top w:val="single" w:sz="4" w:space="0" w:color="auto"/>
              <w:left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Кол-во</w:t>
            </w:r>
          </w:p>
        </w:tc>
        <w:tc>
          <w:tcPr>
            <w:tcW w:w="1134" w:type="dxa"/>
            <w:tcBorders>
              <w:top w:val="single" w:sz="4" w:space="0" w:color="auto"/>
              <w:left w:val="single" w:sz="4" w:space="0" w:color="auto"/>
              <w:bottom w:val="nil"/>
              <w:right w:val="single" w:sz="4" w:space="0" w:color="auto"/>
            </w:tcBorders>
            <w:shd w:val="clear" w:color="auto" w:fill="auto"/>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color w:val="000000"/>
                <w:sz w:val="20"/>
                <w:szCs w:val="20"/>
                <w:vertAlign w:val="superscript"/>
                <w:lang w:eastAsia="ru-RU"/>
              </w:rPr>
              <w:t>1</w:t>
            </w:r>
            <w:r w:rsidRPr="007512ED">
              <w:rPr>
                <w:rFonts w:ascii="Times New Roman" w:eastAsia="Times New Roman" w:hAnsi="Times New Roman"/>
                <w:b/>
                <w:color w:val="000000"/>
                <w:sz w:val="20"/>
                <w:szCs w:val="20"/>
                <w:lang w:eastAsia="ru-RU"/>
              </w:rPr>
              <w:t xml:space="preserve">Цена </w:t>
            </w:r>
            <w:r>
              <w:rPr>
                <w:rFonts w:ascii="Times New Roman" w:eastAsia="Times New Roman" w:hAnsi="Times New Roman"/>
                <w:b/>
                <w:color w:val="000000"/>
                <w:sz w:val="20"/>
                <w:szCs w:val="20"/>
                <w:lang w:eastAsia="ru-RU"/>
              </w:rPr>
              <w:t xml:space="preserve">за единицу руб., </w:t>
            </w:r>
            <w:r w:rsidRPr="007512ED">
              <w:rPr>
                <w:rFonts w:ascii="Times New Roman" w:eastAsia="Times New Roman" w:hAnsi="Times New Roman"/>
                <w:b/>
                <w:color w:val="000000"/>
                <w:sz w:val="20"/>
                <w:szCs w:val="20"/>
                <w:lang w:eastAsia="ru-RU"/>
              </w:rPr>
              <w:t>НДС</w:t>
            </w:r>
          </w:p>
        </w:tc>
        <w:tc>
          <w:tcPr>
            <w:tcW w:w="992" w:type="dxa"/>
            <w:tcBorders>
              <w:top w:val="single" w:sz="4" w:space="0" w:color="auto"/>
              <w:left w:val="nil"/>
              <w:right w:val="single" w:sz="4" w:space="0" w:color="auto"/>
            </w:tcBorders>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vertAlign w:val="superscript"/>
                <w:lang w:eastAsia="ru-RU"/>
              </w:rPr>
              <w:t>1</w:t>
            </w:r>
            <w:r w:rsidRPr="007512ED">
              <w:rPr>
                <w:rFonts w:ascii="Times New Roman" w:eastAsia="Times New Roman" w:hAnsi="Times New Roman"/>
                <w:b/>
                <w:bCs/>
                <w:color w:val="000000"/>
                <w:sz w:val="20"/>
                <w:szCs w:val="20"/>
                <w:lang w:eastAsia="ru-RU"/>
              </w:rPr>
              <w:t>Сумма в руб.</w:t>
            </w:r>
          </w:p>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sidRPr="007512ED">
              <w:rPr>
                <w:rFonts w:ascii="Times New Roman" w:eastAsia="Times New Roman" w:hAnsi="Times New Roman"/>
                <w:b/>
                <w:bCs/>
                <w:color w:val="000000"/>
                <w:sz w:val="20"/>
                <w:szCs w:val="20"/>
                <w:lang w:eastAsia="ru-RU"/>
              </w:rPr>
              <w:t>с НДС</w:t>
            </w:r>
          </w:p>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p>
        </w:tc>
      </w:tr>
      <w:tr w:rsidR="007512ED" w:rsidRPr="00D13642" w:rsidTr="007512ED">
        <w:trPr>
          <w:trHeight w:val="365"/>
        </w:trPr>
        <w:tc>
          <w:tcPr>
            <w:tcW w:w="568" w:type="dxa"/>
            <w:tcBorders>
              <w:top w:val="single" w:sz="4" w:space="0" w:color="auto"/>
              <w:left w:val="single" w:sz="4" w:space="0" w:color="auto"/>
              <w:bottom w:val="nil"/>
              <w:right w:val="single" w:sz="4" w:space="0" w:color="auto"/>
            </w:tcBorders>
            <w:shd w:val="clear" w:color="auto" w:fill="auto"/>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p>
        </w:tc>
        <w:tc>
          <w:tcPr>
            <w:tcW w:w="1701" w:type="dxa"/>
            <w:tcBorders>
              <w:top w:val="single" w:sz="4" w:space="0" w:color="auto"/>
              <w:left w:val="single" w:sz="4" w:space="0" w:color="auto"/>
              <w:bottom w:val="single" w:sz="4" w:space="0" w:color="000000"/>
              <w:right w:val="single" w:sz="4" w:space="0" w:color="auto"/>
            </w:tcBorders>
            <w:shd w:val="clear" w:color="auto" w:fill="auto"/>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w:t>
            </w:r>
          </w:p>
        </w:tc>
        <w:tc>
          <w:tcPr>
            <w:tcW w:w="567" w:type="dxa"/>
            <w:tcBorders>
              <w:top w:val="single" w:sz="4" w:space="0" w:color="auto"/>
              <w:left w:val="single" w:sz="4" w:space="0" w:color="auto"/>
              <w:bottom w:val="nil"/>
              <w:right w:val="single" w:sz="4" w:space="0" w:color="auto"/>
            </w:tcBorders>
            <w:shd w:val="clear" w:color="auto" w:fill="auto"/>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w:t>
            </w:r>
          </w:p>
        </w:tc>
        <w:tc>
          <w:tcPr>
            <w:tcW w:w="1276" w:type="dxa"/>
            <w:tcBorders>
              <w:top w:val="single" w:sz="4" w:space="0" w:color="auto"/>
              <w:left w:val="single" w:sz="4" w:space="0" w:color="auto"/>
              <w:right w:val="single" w:sz="4" w:space="0" w:color="auto"/>
            </w:tcBorders>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3</w:t>
            </w:r>
          </w:p>
        </w:tc>
        <w:tc>
          <w:tcPr>
            <w:tcW w:w="4111" w:type="dxa"/>
            <w:tcBorders>
              <w:top w:val="single" w:sz="4" w:space="0" w:color="auto"/>
              <w:left w:val="single" w:sz="4" w:space="0" w:color="auto"/>
              <w:bottom w:val="single" w:sz="4" w:space="0" w:color="auto"/>
              <w:right w:val="single" w:sz="4" w:space="0" w:color="auto"/>
            </w:tcBorders>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4</w:t>
            </w:r>
          </w:p>
        </w:tc>
        <w:tc>
          <w:tcPr>
            <w:tcW w:w="567" w:type="dxa"/>
            <w:tcBorders>
              <w:top w:val="single" w:sz="4" w:space="0" w:color="auto"/>
              <w:left w:val="single" w:sz="4" w:space="0" w:color="auto"/>
              <w:right w:val="single" w:sz="4" w:space="0" w:color="auto"/>
            </w:tcBorders>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5</w:t>
            </w:r>
          </w:p>
        </w:tc>
        <w:tc>
          <w:tcPr>
            <w:tcW w:w="1134" w:type="dxa"/>
            <w:tcBorders>
              <w:top w:val="single" w:sz="4" w:space="0" w:color="auto"/>
              <w:left w:val="single" w:sz="4" w:space="0" w:color="auto"/>
              <w:bottom w:val="nil"/>
              <w:right w:val="single" w:sz="4" w:space="0" w:color="auto"/>
            </w:tcBorders>
            <w:shd w:val="clear" w:color="auto" w:fill="auto"/>
            <w:vAlign w:val="center"/>
          </w:tcPr>
          <w:p w:rsidR="007512ED" w:rsidRPr="007512ED" w:rsidRDefault="007512ED" w:rsidP="007512ED">
            <w:pPr>
              <w:spacing w:after="0" w:line="240" w:lineRule="auto"/>
              <w:jc w:val="center"/>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6</w:t>
            </w:r>
          </w:p>
        </w:tc>
        <w:tc>
          <w:tcPr>
            <w:tcW w:w="992" w:type="dxa"/>
            <w:tcBorders>
              <w:top w:val="single" w:sz="4" w:space="0" w:color="auto"/>
              <w:left w:val="nil"/>
              <w:right w:val="single" w:sz="4" w:space="0" w:color="auto"/>
            </w:tcBorders>
            <w:vAlign w:val="center"/>
          </w:tcPr>
          <w:p w:rsidR="007512ED" w:rsidRPr="007512ED" w:rsidRDefault="007512ED" w:rsidP="007512ED">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7</w:t>
            </w:r>
          </w:p>
        </w:tc>
      </w:tr>
      <w:tr w:rsidR="007512ED" w:rsidRPr="00D13642" w:rsidTr="007512ED">
        <w:trPr>
          <w:trHeight w:val="645"/>
        </w:trPr>
        <w:tc>
          <w:tcPr>
            <w:tcW w:w="568" w:type="dxa"/>
            <w:tcBorders>
              <w:top w:val="single" w:sz="4" w:space="0" w:color="auto"/>
              <w:left w:val="single" w:sz="4" w:space="0" w:color="auto"/>
              <w:bottom w:val="single" w:sz="4" w:space="0" w:color="auto"/>
              <w:right w:val="nil"/>
            </w:tcBorders>
            <w:shd w:val="clear" w:color="auto" w:fill="auto"/>
            <w:noWrap/>
            <w:hideMark/>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1</w:t>
            </w:r>
          </w:p>
        </w:tc>
        <w:tc>
          <w:tcPr>
            <w:tcW w:w="1701" w:type="dxa"/>
            <w:tcBorders>
              <w:top w:val="nil"/>
              <w:left w:val="single" w:sz="4" w:space="0" w:color="auto"/>
              <w:bottom w:val="single" w:sz="4" w:space="0" w:color="auto"/>
              <w:right w:val="single" w:sz="4" w:space="0" w:color="auto"/>
            </w:tcBorders>
            <w:shd w:val="clear" w:color="auto" w:fill="auto"/>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Перекись водорода техническая, А  </w:t>
            </w: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ГОСТ 177-88</w:t>
            </w:r>
          </w:p>
        </w:tc>
        <w:tc>
          <w:tcPr>
            <w:tcW w:w="567" w:type="dxa"/>
            <w:tcBorders>
              <w:top w:val="single" w:sz="4" w:space="0" w:color="auto"/>
              <w:left w:val="nil"/>
              <w:bottom w:val="single" w:sz="4" w:space="0" w:color="auto"/>
              <w:right w:val="single" w:sz="4" w:space="0" w:color="auto"/>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кг.</w:t>
            </w:r>
          </w:p>
        </w:tc>
        <w:tc>
          <w:tcPr>
            <w:tcW w:w="1276" w:type="dxa"/>
            <w:tcBorders>
              <w:top w:val="single" w:sz="4" w:space="0" w:color="auto"/>
              <w:left w:val="nil"/>
              <w:bottom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4111" w:type="dxa"/>
            <w:tcBorders>
              <w:top w:val="single" w:sz="4" w:space="0" w:color="auto"/>
              <w:left w:val="single" w:sz="4" w:space="0" w:color="auto"/>
              <w:bottom w:val="single" w:sz="4" w:space="0" w:color="auto"/>
              <w:right w:val="single" w:sz="4" w:space="0" w:color="auto"/>
            </w:tcBorders>
          </w:tcPr>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Бесцветная прозрачная жидкость; массовая доля водорода 35-40%;</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массовая концентрация серной кислоты, г/дм3, не более 0,35;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массовая концентрация нелетучего остатка , г/дм3 , не более 0,7,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Фасовка в  полиэтиленовой таре высокого давления объемом 30л.</w:t>
            </w:r>
          </w:p>
        </w:tc>
        <w:tc>
          <w:tcPr>
            <w:tcW w:w="567" w:type="dxa"/>
            <w:tcBorders>
              <w:top w:val="single" w:sz="4" w:space="0" w:color="auto"/>
              <w:left w:val="single" w:sz="4" w:space="0" w:color="auto"/>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700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r>
      <w:tr w:rsidR="007512ED" w:rsidRPr="00D13642" w:rsidTr="007512ED">
        <w:trPr>
          <w:trHeight w:val="375"/>
        </w:trPr>
        <w:tc>
          <w:tcPr>
            <w:tcW w:w="568" w:type="dxa"/>
            <w:tcBorders>
              <w:top w:val="nil"/>
              <w:left w:val="single" w:sz="4" w:space="0" w:color="auto"/>
              <w:bottom w:val="single" w:sz="4" w:space="0" w:color="auto"/>
              <w:right w:val="nil"/>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2</w:t>
            </w:r>
          </w:p>
        </w:tc>
        <w:tc>
          <w:tcPr>
            <w:tcW w:w="1701" w:type="dxa"/>
            <w:tcBorders>
              <w:top w:val="nil"/>
              <w:left w:val="single" w:sz="4" w:space="0" w:color="auto"/>
              <w:bottom w:val="single" w:sz="4" w:space="0" w:color="auto"/>
              <w:right w:val="single" w:sz="4" w:space="0" w:color="auto"/>
            </w:tcBorders>
            <w:shd w:val="clear" w:color="auto" w:fill="auto"/>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Кальция гидроокись, чда </w:t>
            </w: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ГОСТ 9262-77</w:t>
            </w:r>
          </w:p>
        </w:tc>
        <w:tc>
          <w:tcPr>
            <w:tcW w:w="567" w:type="dxa"/>
            <w:tcBorders>
              <w:top w:val="nil"/>
              <w:left w:val="nil"/>
              <w:bottom w:val="single" w:sz="4" w:space="0" w:color="auto"/>
              <w:right w:val="single" w:sz="4" w:space="0" w:color="auto"/>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кг</w:t>
            </w:r>
          </w:p>
        </w:tc>
        <w:tc>
          <w:tcPr>
            <w:tcW w:w="1276" w:type="dxa"/>
            <w:tcBorders>
              <w:top w:val="nil"/>
              <w:left w:val="nil"/>
              <w:bottom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4111" w:type="dxa"/>
            <w:tcBorders>
              <w:top w:val="single" w:sz="4" w:space="0" w:color="auto"/>
              <w:left w:val="single" w:sz="4" w:space="0" w:color="auto"/>
              <w:bottom w:val="single" w:sz="4" w:space="0" w:color="auto"/>
              <w:right w:val="single" w:sz="4" w:space="0" w:color="auto"/>
            </w:tcBorders>
          </w:tcPr>
          <w:p w:rsidR="007512ED" w:rsidRPr="007512ED" w:rsidRDefault="007512ED" w:rsidP="007512ED">
            <w:pPr>
              <w:spacing w:after="0" w:line="240" w:lineRule="auto"/>
              <w:jc w:val="both"/>
              <w:rPr>
                <w:rFonts w:ascii="Times New Roman" w:hAnsi="Times New Roman"/>
                <w:sz w:val="20"/>
                <w:szCs w:val="20"/>
              </w:rPr>
            </w:pPr>
            <w:r w:rsidRPr="007512ED">
              <w:rPr>
                <w:rFonts w:ascii="Times New Roman" w:eastAsia="Times New Roman" w:hAnsi="Times New Roman"/>
                <w:color w:val="000000"/>
                <w:sz w:val="20"/>
                <w:szCs w:val="20"/>
                <w:lang w:eastAsia="ru-RU"/>
              </w:rPr>
              <w:t>Внешний вид: Сухой белый порошок, слипающийся в комки, слабо растворимый в воде, легко растворимый в разбавленных соляной и азотной кислотах.</w:t>
            </w:r>
            <w:r w:rsidRPr="007512ED">
              <w:rPr>
                <w:rFonts w:ascii="Times New Roman" w:hAnsi="Times New Roman"/>
                <w:sz w:val="20"/>
                <w:szCs w:val="20"/>
              </w:rPr>
              <w:t xml:space="preserve">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гидроокиси кальция (Са(ОН)2,% , не менее 97;</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массовая доля углекислого кальция (СаСО3), %, не более1,5;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массовая доля нерастворимыхв  соляной кислоте веществ, % , не более 0,008;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сультфатов (</w:t>
            </w:r>
            <w:r w:rsidRPr="007512ED">
              <w:rPr>
                <w:rFonts w:ascii="Times New Roman" w:eastAsia="Times New Roman" w:hAnsi="Times New Roman"/>
                <w:color w:val="000000"/>
                <w:sz w:val="20"/>
                <w:szCs w:val="20"/>
                <w:lang w:val="en-US" w:eastAsia="ru-RU"/>
              </w:rPr>
              <w:t>S</w:t>
            </w:r>
            <w:r w:rsidRPr="007512ED">
              <w:rPr>
                <w:rFonts w:ascii="Times New Roman" w:eastAsia="Times New Roman" w:hAnsi="Times New Roman"/>
                <w:color w:val="000000"/>
                <w:sz w:val="20"/>
                <w:szCs w:val="20"/>
                <w:lang w:eastAsia="ru-RU"/>
              </w:rPr>
              <w:t>О4), %, не более 0,01;</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хлоридов (С</w:t>
            </w:r>
            <w:r w:rsidRPr="007512ED">
              <w:rPr>
                <w:rFonts w:ascii="Times New Roman" w:eastAsia="Times New Roman" w:hAnsi="Times New Roman"/>
                <w:color w:val="000000"/>
                <w:sz w:val="20"/>
                <w:szCs w:val="20"/>
                <w:lang w:val="en-US" w:eastAsia="ru-RU"/>
              </w:rPr>
              <w:t>l</w:t>
            </w:r>
            <w:r w:rsidRPr="007512ED">
              <w:rPr>
                <w:rFonts w:ascii="Times New Roman" w:eastAsia="Times New Roman" w:hAnsi="Times New Roman"/>
                <w:color w:val="000000"/>
                <w:sz w:val="20"/>
                <w:szCs w:val="20"/>
                <w:lang w:eastAsia="ru-RU"/>
              </w:rPr>
              <w:t>),% , не более 0,005;</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общего азота (</w:t>
            </w:r>
            <w:r w:rsidRPr="007512ED">
              <w:rPr>
                <w:rFonts w:ascii="Times New Roman" w:eastAsia="Times New Roman" w:hAnsi="Times New Roman"/>
                <w:color w:val="000000"/>
                <w:sz w:val="20"/>
                <w:szCs w:val="20"/>
                <w:lang w:val="en-US" w:eastAsia="ru-RU"/>
              </w:rPr>
              <w:t>N</w:t>
            </w:r>
            <w:r w:rsidRPr="007512ED">
              <w:rPr>
                <w:rFonts w:ascii="Times New Roman" w:eastAsia="Times New Roman" w:hAnsi="Times New Roman"/>
                <w:color w:val="000000"/>
                <w:sz w:val="20"/>
                <w:szCs w:val="20"/>
                <w:lang w:eastAsia="ru-RU"/>
              </w:rPr>
              <w:t xml:space="preserve">),%, не более 0,05;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железа (</w:t>
            </w:r>
            <w:r w:rsidRPr="007512ED">
              <w:rPr>
                <w:rFonts w:ascii="Times New Roman" w:eastAsia="Times New Roman" w:hAnsi="Times New Roman"/>
                <w:color w:val="000000"/>
                <w:sz w:val="20"/>
                <w:szCs w:val="20"/>
                <w:lang w:val="en-US" w:eastAsia="ru-RU"/>
              </w:rPr>
              <w:t>Fe</w:t>
            </w:r>
            <w:r w:rsidRPr="007512ED">
              <w:rPr>
                <w:rFonts w:ascii="Times New Roman" w:eastAsia="Times New Roman" w:hAnsi="Times New Roman"/>
                <w:color w:val="000000"/>
                <w:sz w:val="20"/>
                <w:szCs w:val="20"/>
                <w:lang w:eastAsia="ru-RU"/>
              </w:rPr>
              <w:t>). %, не более 0,01;</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тяжелых металлов (</w:t>
            </w:r>
            <w:r w:rsidRPr="007512ED">
              <w:rPr>
                <w:rFonts w:ascii="Times New Roman" w:eastAsia="Times New Roman" w:hAnsi="Times New Roman"/>
                <w:color w:val="000000"/>
                <w:sz w:val="20"/>
                <w:szCs w:val="20"/>
                <w:lang w:val="en-US" w:eastAsia="ru-RU"/>
              </w:rPr>
              <w:t>Pb</w:t>
            </w:r>
            <w:r w:rsidRPr="007512ED">
              <w:rPr>
                <w:rFonts w:ascii="Times New Roman" w:eastAsia="Times New Roman" w:hAnsi="Times New Roman"/>
                <w:color w:val="000000"/>
                <w:sz w:val="20"/>
                <w:szCs w:val="20"/>
                <w:lang w:eastAsia="ru-RU"/>
              </w:rPr>
              <w:t>), не более 0,003; массовая доля магния(</w:t>
            </w:r>
            <w:r w:rsidRPr="007512ED">
              <w:rPr>
                <w:rFonts w:ascii="Times New Roman" w:eastAsia="Times New Roman" w:hAnsi="Times New Roman"/>
                <w:color w:val="000000"/>
                <w:sz w:val="20"/>
                <w:szCs w:val="20"/>
                <w:lang w:val="en-US" w:eastAsia="ru-RU"/>
              </w:rPr>
              <w:t>Mg</w:t>
            </w:r>
            <w:r w:rsidRPr="007512ED">
              <w:rPr>
                <w:rFonts w:ascii="Times New Roman" w:eastAsia="Times New Roman" w:hAnsi="Times New Roman"/>
                <w:color w:val="000000"/>
                <w:sz w:val="20"/>
                <w:szCs w:val="20"/>
                <w:lang w:eastAsia="ru-RU"/>
              </w:rPr>
              <w:t>), % , не более 0,05;</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суммы калия и натрия (</w:t>
            </w:r>
            <w:r w:rsidRPr="007512ED">
              <w:rPr>
                <w:rFonts w:ascii="Times New Roman" w:eastAsia="Times New Roman" w:hAnsi="Times New Roman"/>
                <w:color w:val="000000"/>
                <w:sz w:val="20"/>
                <w:szCs w:val="20"/>
                <w:lang w:val="en-US" w:eastAsia="ru-RU"/>
              </w:rPr>
              <w:t>K</w:t>
            </w:r>
            <w:r w:rsidRPr="007512ED">
              <w:rPr>
                <w:rFonts w:ascii="Times New Roman" w:eastAsia="Times New Roman" w:hAnsi="Times New Roman"/>
                <w:color w:val="000000"/>
                <w:sz w:val="20"/>
                <w:szCs w:val="20"/>
                <w:lang w:eastAsia="ru-RU"/>
              </w:rPr>
              <w:t>+</w:t>
            </w:r>
            <w:r w:rsidRPr="007512ED">
              <w:rPr>
                <w:rFonts w:ascii="Times New Roman" w:eastAsia="Times New Roman" w:hAnsi="Times New Roman"/>
                <w:color w:val="000000"/>
                <w:sz w:val="20"/>
                <w:szCs w:val="20"/>
                <w:lang w:val="en-US" w:eastAsia="ru-RU"/>
              </w:rPr>
              <w:t>Na</w:t>
            </w:r>
            <w:r w:rsidRPr="007512ED">
              <w:rPr>
                <w:rFonts w:ascii="Times New Roman" w:eastAsia="Times New Roman" w:hAnsi="Times New Roman"/>
                <w:color w:val="000000"/>
                <w:sz w:val="20"/>
                <w:szCs w:val="20"/>
                <w:lang w:eastAsia="ru-RU"/>
              </w:rPr>
              <w:t>), %, не более 0,5</w:t>
            </w:r>
          </w:p>
        </w:tc>
        <w:tc>
          <w:tcPr>
            <w:tcW w:w="567" w:type="dxa"/>
            <w:tcBorders>
              <w:top w:val="nil"/>
              <w:left w:val="single" w:sz="4" w:space="0" w:color="auto"/>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600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r>
      <w:tr w:rsidR="007512ED" w:rsidRPr="00D13642" w:rsidTr="007512ED">
        <w:trPr>
          <w:trHeight w:val="375"/>
        </w:trPr>
        <w:tc>
          <w:tcPr>
            <w:tcW w:w="568" w:type="dxa"/>
            <w:tcBorders>
              <w:top w:val="nil"/>
              <w:left w:val="single" w:sz="4" w:space="0" w:color="auto"/>
              <w:bottom w:val="single" w:sz="4" w:space="0" w:color="auto"/>
              <w:right w:val="nil"/>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3</w:t>
            </w:r>
          </w:p>
        </w:tc>
        <w:tc>
          <w:tcPr>
            <w:tcW w:w="1701" w:type="dxa"/>
            <w:tcBorders>
              <w:top w:val="nil"/>
              <w:left w:val="single" w:sz="4" w:space="0" w:color="auto"/>
              <w:bottom w:val="single" w:sz="4" w:space="0" w:color="auto"/>
              <w:right w:val="single" w:sz="4" w:space="0" w:color="auto"/>
            </w:tcBorders>
            <w:shd w:val="clear" w:color="auto" w:fill="auto"/>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Натрия гипохлорит, марка А </w:t>
            </w: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ГОСТ 11086-76</w:t>
            </w:r>
          </w:p>
        </w:tc>
        <w:tc>
          <w:tcPr>
            <w:tcW w:w="567" w:type="dxa"/>
            <w:tcBorders>
              <w:top w:val="nil"/>
              <w:left w:val="nil"/>
              <w:bottom w:val="single" w:sz="4" w:space="0" w:color="auto"/>
              <w:right w:val="single" w:sz="4" w:space="0" w:color="auto"/>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кг</w:t>
            </w:r>
          </w:p>
        </w:tc>
        <w:tc>
          <w:tcPr>
            <w:tcW w:w="1276" w:type="dxa"/>
            <w:tcBorders>
              <w:top w:val="nil"/>
              <w:left w:val="nil"/>
              <w:bottom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4111" w:type="dxa"/>
            <w:tcBorders>
              <w:top w:val="single" w:sz="4" w:space="0" w:color="auto"/>
              <w:left w:val="single" w:sz="4" w:space="0" w:color="auto"/>
              <w:bottom w:val="single" w:sz="4" w:space="0" w:color="auto"/>
              <w:right w:val="single" w:sz="4" w:space="0" w:color="auto"/>
            </w:tcBorders>
          </w:tcPr>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Внешний вид: жидкость зеленовато-желтого цвета. Коэффициент светопропускания, % , не менее 20;</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концентрация активного хлора , г/дм3, не менее 190;</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Массовая концентрация щелочи  в перерасчете на </w:t>
            </w:r>
            <w:r w:rsidRPr="007512ED">
              <w:rPr>
                <w:rFonts w:ascii="Times New Roman" w:eastAsia="Times New Roman" w:hAnsi="Times New Roman"/>
                <w:color w:val="000000"/>
                <w:sz w:val="20"/>
                <w:szCs w:val="20"/>
                <w:lang w:val="en-US" w:eastAsia="ru-RU"/>
              </w:rPr>
              <w:t>NaOH</w:t>
            </w:r>
            <w:r w:rsidRPr="007512ED">
              <w:rPr>
                <w:rFonts w:ascii="Times New Roman" w:eastAsia="Times New Roman" w:hAnsi="Times New Roman"/>
                <w:color w:val="000000"/>
                <w:sz w:val="20"/>
                <w:szCs w:val="20"/>
                <w:lang w:eastAsia="ru-RU"/>
              </w:rPr>
              <w:t>, г/дм3 10-20;</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концентрация железа , г/дм3 , не более 0,02</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hAnsi="Times New Roman"/>
                <w:sz w:val="20"/>
                <w:szCs w:val="20"/>
              </w:rPr>
              <w:t xml:space="preserve"> </w:t>
            </w:r>
            <w:r w:rsidRPr="007512ED">
              <w:rPr>
                <w:rFonts w:ascii="Times New Roman" w:eastAsia="Times New Roman" w:hAnsi="Times New Roman"/>
                <w:color w:val="000000"/>
                <w:sz w:val="20"/>
                <w:szCs w:val="20"/>
                <w:lang w:eastAsia="ru-RU"/>
              </w:rPr>
              <w:t>Вид и тип тары: полиэтиленовые емкости объемом 20л.</w:t>
            </w:r>
          </w:p>
        </w:tc>
        <w:tc>
          <w:tcPr>
            <w:tcW w:w="567" w:type="dxa"/>
            <w:tcBorders>
              <w:top w:val="nil"/>
              <w:left w:val="single" w:sz="4" w:space="0" w:color="auto"/>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400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r>
      <w:tr w:rsidR="007512ED" w:rsidRPr="00D13642" w:rsidTr="007512ED">
        <w:trPr>
          <w:trHeight w:val="375"/>
        </w:trPr>
        <w:tc>
          <w:tcPr>
            <w:tcW w:w="568" w:type="dxa"/>
            <w:tcBorders>
              <w:top w:val="nil"/>
              <w:left w:val="single" w:sz="4" w:space="0" w:color="auto"/>
              <w:bottom w:val="single" w:sz="4" w:space="0" w:color="auto"/>
              <w:right w:val="nil"/>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4</w:t>
            </w:r>
          </w:p>
        </w:tc>
        <w:tc>
          <w:tcPr>
            <w:tcW w:w="1701" w:type="dxa"/>
            <w:tcBorders>
              <w:top w:val="nil"/>
              <w:left w:val="single" w:sz="4" w:space="0" w:color="auto"/>
              <w:bottom w:val="single" w:sz="4" w:space="0" w:color="auto"/>
              <w:right w:val="single" w:sz="4" w:space="0" w:color="auto"/>
            </w:tcBorders>
            <w:shd w:val="clear" w:color="auto" w:fill="auto"/>
          </w:tcPr>
          <w:p w:rsidR="007512ED" w:rsidRPr="007512ED" w:rsidRDefault="00B6152E" w:rsidP="007512ED">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Натрий едкий </w:t>
            </w:r>
            <w:r w:rsidR="007512ED" w:rsidRPr="007512ED">
              <w:rPr>
                <w:rFonts w:ascii="Times New Roman" w:eastAsia="Times New Roman" w:hAnsi="Times New Roman"/>
                <w:color w:val="000000"/>
                <w:sz w:val="20"/>
                <w:szCs w:val="20"/>
                <w:lang w:eastAsia="ru-RU"/>
              </w:rPr>
              <w:t xml:space="preserve"> </w:t>
            </w: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ГОСТ Р 55064-2012</w:t>
            </w:r>
          </w:p>
        </w:tc>
        <w:tc>
          <w:tcPr>
            <w:tcW w:w="567" w:type="dxa"/>
            <w:tcBorders>
              <w:top w:val="nil"/>
              <w:left w:val="nil"/>
              <w:bottom w:val="single" w:sz="4" w:space="0" w:color="auto"/>
              <w:right w:val="single" w:sz="4" w:space="0" w:color="auto"/>
            </w:tcBorders>
            <w:shd w:val="clear" w:color="auto" w:fill="auto"/>
            <w:noWrap/>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кг</w:t>
            </w:r>
          </w:p>
        </w:tc>
        <w:tc>
          <w:tcPr>
            <w:tcW w:w="1276" w:type="dxa"/>
            <w:tcBorders>
              <w:top w:val="nil"/>
              <w:left w:val="nil"/>
              <w:bottom w:val="single" w:sz="4" w:space="0" w:color="auto"/>
              <w:right w:val="single" w:sz="4" w:space="0" w:color="auto"/>
            </w:tcBorders>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4111" w:type="dxa"/>
            <w:tcBorders>
              <w:top w:val="single" w:sz="4" w:space="0" w:color="auto"/>
              <w:left w:val="single" w:sz="4" w:space="0" w:color="auto"/>
              <w:bottom w:val="single" w:sz="4" w:space="0" w:color="auto"/>
              <w:right w:val="single" w:sz="4" w:space="0" w:color="auto"/>
            </w:tcBorders>
          </w:tcPr>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Внешний вид: раствор диафрагменный, получаемый из первичного диафрагменного раствора едкого натра (12%-15%), упариванием до 44%-50%).</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 Внешний вид: бесцветная или окрашенная жидкость. Допускается выкристаллизованный осадок.</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 xml:space="preserve">массовая доля гидроксида натрия,%, не менее 46; </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lastRenderedPageBreak/>
              <w:t>массовая доля карбоната натрия,%, не более 0,6;</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хлорида натрия, %, не более 3,0;</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железа  в пересчете на Fe2O3,%, не более 0.007;</w:t>
            </w:r>
          </w:p>
          <w:p w:rsidR="007512ED" w:rsidRPr="007512ED" w:rsidRDefault="007512ED" w:rsidP="007512ED">
            <w:pPr>
              <w:spacing w:after="0" w:line="240" w:lineRule="auto"/>
              <w:jc w:val="both"/>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t>массовая доля хлорита натрия,%, не более 0,25 Транспортная маркировка – по ГОСТ 14192 с нанесением манипуляционного знака « Герметичная упаковка», а также в соответствии с правилами перевозок опасных грузов.</w:t>
            </w:r>
            <w:r w:rsidRPr="007512ED">
              <w:rPr>
                <w:rFonts w:ascii="Times New Roman" w:hAnsi="Times New Roman"/>
                <w:sz w:val="20"/>
                <w:szCs w:val="20"/>
              </w:rPr>
              <w:t xml:space="preserve"> </w:t>
            </w:r>
            <w:r w:rsidRPr="007512ED">
              <w:rPr>
                <w:rFonts w:ascii="Times New Roman" w:eastAsia="Times New Roman" w:hAnsi="Times New Roman"/>
                <w:color w:val="000000"/>
                <w:sz w:val="20"/>
                <w:szCs w:val="20"/>
                <w:lang w:eastAsia="ru-RU"/>
              </w:rPr>
              <w:t xml:space="preserve">. Вид и тип тары должны соответствовать ГОСТ 26319: полиэтиленовые емкости объемом 30л. </w:t>
            </w:r>
          </w:p>
        </w:tc>
        <w:tc>
          <w:tcPr>
            <w:tcW w:w="567" w:type="dxa"/>
            <w:tcBorders>
              <w:top w:val="nil"/>
              <w:left w:val="single" w:sz="4" w:space="0" w:color="auto"/>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r w:rsidRPr="007512ED">
              <w:rPr>
                <w:rFonts w:ascii="Times New Roman" w:eastAsia="Times New Roman" w:hAnsi="Times New Roman"/>
                <w:color w:val="000000"/>
                <w:sz w:val="20"/>
                <w:szCs w:val="20"/>
                <w:lang w:eastAsia="ru-RU"/>
              </w:rPr>
              <w:lastRenderedPageBreak/>
              <w:t>2000</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c>
          <w:tcPr>
            <w:tcW w:w="992" w:type="dxa"/>
            <w:tcBorders>
              <w:top w:val="single" w:sz="4" w:space="0" w:color="auto"/>
              <w:left w:val="nil"/>
              <w:bottom w:val="single" w:sz="4" w:space="0" w:color="auto"/>
              <w:right w:val="single" w:sz="4" w:space="0" w:color="auto"/>
            </w:tcBorders>
            <w:vAlign w:val="bottom"/>
          </w:tcPr>
          <w:p w:rsidR="007512ED" w:rsidRPr="007512ED" w:rsidRDefault="007512ED" w:rsidP="007512ED">
            <w:pPr>
              <w:spacing w:after="0" w:line="240" w:lineRule="auto"/>
              <w:jc w:val="center"/>
              <w:rPr>
                <w:rFonts w:ascii="Times New Roman" w:eastAsia="Times New Roman" w:hAnsi="Times New Roman"/>
                <w:color w:val="000000"/>
                <w:sz w:val="20"/>
                <w:szCs w:val="20"/>
                <w:lang w:eastAsia="ru-RU"/>
              </w:rPr>
            </w:pPr>
          </w:p>
        </w:tc>
      </w:tr>
    </w:tbl>
    <w:p w:rsidR="007512ED" w:rsidRDefault="007512ED" w:rsidP="00B07025">
      <w:pPr>
        <w:spacing w:after="0" w:line="240" w:lineRule="auto"/>
        <w:ind w:right="2" w:firstLine="709"/>
        <w:jc w:val="both"/>
        <w:rPr>
          <w:rFonts w:ascii="Times New Roman" w:eastAsia="Times New Roman" w:hAnsi="Times New Roman"/>
          <w:i/>
          <w:spacing w:val="-4"/>
          <w:sz w:val="24"/>
          <w:szCs w:val="24"/>
          <w:lang w:eastAsia="ru-RU"/>
        </w:rPr>
      </w:pPr>
    </w:p>
    <w:p w:rsidR="002E695C" w:rsidRPr="007512ED" w:rsidRDefault="007512ED" w:rsidP="007512ED">
      <w:pPr>
        <w:spacing w:after="0" w:line="240" w:lineRule="auto"/>
        <w:ind w:right="2" w:firstLine="709"/>
        <w:jc w:val="both"/>
        <w:rPr>
          <w:rFonts w:ascii="Times New Roman" w:eastAsia="Times New Roman" w:hAnsi="Times New Roman"/>
          <w:i/>
          <w:spacing w:val="-4"/>
          <w:sz w:val="22"/>
          <w:szCs w:val="22"/>
          <w:lang w:eastAsia="ru-RU"/>
        </w:rPr>
      </w:pPr>
      <w:r w:rsidRPr="007512ED">
        <w:rPr>
          <w:rFonts w:ascii="Times New Roman" w:eastAsia="Times New Roman" w:hAnsi="Times New Roman"/>
          <w:i/>
          <w:spacing w:val="-4"/>
          <w:sz w:val="22"/>
          <w:szCs w:val="22"/>
          <w:lang w:eastAsia="ru-RU"/>
        </w:rPr>
        <w:t>Примечание: столбцы 6,7 заполняется участником закупки</w:t>
      </w:r>
    </w:p>
    <w:p w:rsidR="007512ED" w:rsidRPr="007512ED" w:rsidRDefault="007512ED" w:rsidP="007512ED">
      <w:pPr>
        <w:spacing w:after="0" w:line="240" w:lineRule="auto"/>
        <w:ind w:right="2" w:firstLine="709"/>
        <w:jc w:val="both"/>
        <w:rPr>
          <w:rFonts w:ascii="Times New Roman" w:eastAsia="Times New Roman" w:hAnsi="Times New Roman"/>
          <w:i/>
          <w:spacing w:val="-4"/>
          <w:sz w:val="24"/>
          <w:szCs w:val="24"/>
          <w:lang w:eastAsia="ru-RU"/>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банковская </w:t>
      </w:r>
      <w:r w:rsidRPr="00C57AC9">
        <w:rPr>
          <w:rFonts w:ascii="Times New Roman" w:hAnsi="Times New Roman"/>
          <w:sz w:val="24"/>
          <w:szCs w:val="24"/>
        </w:rPr>
        <w:t xml:space="preserve">гарантия должна быть выдана банком, </w:t>
      </w:r>
      <w:r>
        <w:rPr>
          <w:rFonts w:ascii="Times New Roman" w:hAnsi="Times New Roman"/>
          <w:sz w:val="24"/>
          <w:szCs w:val="24"/>
        </w:rPr>
        <w:t xml:space="preserve">отвечающим критериям, установленным Наблюдательным советом Корпорации, и </w:t>
      </w:r>
      <w:r w:rsidRPr="00C57AC9">
        <w:rPr>
          <w:rFonts w:ascii="Times New Roman" w:hAnsi="Times New Roman"/>
          <w:sz w:val="24"/>
          <w:szCs w:val="24"/>
        </w:rPr>
        <w:t xml:space="preserve">включенным в предусмотренный </w:t>
      </w:r>
      <w:hyperlink r:id="rId19" w:history="1">
        <w:r w:rsidRPr="00C57AC9">
          <w:rPr>
            <w:rFonts w:ascii="Times New Roman" w:hAnsi="Times New Roman"/>
            <w:sz w:val="24"/>
            <w:szCs w:val="24"/>
          </w:rPr>
          <w:t>статьей 74.1</w:t>
        </w:r>
      </w:hyperlink>
      <w:r w:rsidRPr="00C57AC9">
        <w:rPr>
          <w:rFonts w:ascii="Times New Roman" w:hAnsi="Times New Roman"/>
          <w:sz w:val="24"/>
          <w:szCs w:val="24"/>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91B" w:rsidRDefault="00A0091B" w:rsidP="00BE4551">
      <w:pPr>
        <w:spacing w:after="0" w:line="240" w:lineRule="auto"/>
      </w:pPr>
      <w:r>
        <w:separator/>
      </w:r>
    </w:p>
  </w:endnote>
  <w:endnote w:type="continuationSeparator" w:id="0">
    <w:p w:rsidR="00A0091B" w:rsidRDefault="00A0091B" w:rsidP="00BE4551">
      <w:pPr>
        <w:spacing w:after="0" w:line="240" w:lineRule="auto"/>
      </w:pPr>
      <w:r>
        <w:continuationSeparator/>
      </w:r>
    </w:p>
  </w:endnote>
  <w:endnote w:type="continuationNotice" w:id="1">
    <w:p w:rsidR="00A0091B" w:rsidRDefault="00A00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B6152E" w:rsidRDefault="00B6152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B6152E" w:rsidRDefault="00B6152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2E" w:rsidRPr="0032691D" w:rsidRDefault="00B6152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B6152E" w:rsidRDefault="00B6152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623AFD">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B6152E" w:rsidRDefault="00B6152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2E" w:rsidRPr="0032691D" w:rsidRDefault="00B6152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B6152E" w:rsidRPr="00C408FB" w:rsidRDefault="00B6152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623AFD">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B6152E" w:rsidRPr="00CA0F23" w:rsidRDefault="00B6152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623AFD">
          <w:rPr>
            <w:rFonts w:ascii="Times New Roman" w:hAnsi="Times New Roman"/>
            <w:noProof/>
            <w:sz w:val="24"/>
            <w:szCs w:val="24"/>
          </w:rPr>
          <w:t>19</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2E" w:rsidRPr="0032691D" w:rsidRDefault="00B6152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91B" w:rsidRDefault="00A0091B" w:rsidP="00BE4551">
      <w:pPr>
        <w:spacing w:after="0" w:line="240" w:lineRule="auto"/>
      </w:pPr>
      <w:r>
        <w:separator/>
      </w:r>
    </w:p>
  </w:footnote>
  <w:footnote w:type="continuationSeparator" w:id="0">
    <w:p w:rsidR="00A0091B" w:rsidRDefault="00A0091B" w:rsidP="00BE4551">
      <w:pPr>
        <w:spacing w:after="0" w:line="240" w:lineRule="auto"/>
      </w:pPr>
      <w:r>
        <w:continuationSeparator/>
      </w:r>
    </w:p>
  </w:footnote>
  <w:footnote w:type="continuationNotice" w:id="1">
    <w:p w:rsidR="00A0091B" w:rsidRDefault="00A0091B">
      <w:pPr>
        <w:spacing w:after="0" w:line="240" w:lineRule="auto"/>
      </w:pPr>
    </w:p>
  </w:footnote>
  <w:footnote w:id="2">
    <w:p w:rsidR="00B6152E" w:rsidRDefault="00B6152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2E" w:rsidRPr="00A234A7" w:rsidRDefault="00B6152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4"/>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3"/>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3E1E"/>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AFD"/>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3D8"/>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2ED"/>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337"/>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91B"/>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B56"/>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52E"/>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B82CEF"/>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www.consultant.ru/document/cons_doc_LAW_157512/?dst=267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8D104-28FC-4107-8D45-AC64560C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1</Pages>
  <Words>13726</Words>
  <Characters>78243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91786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601</cp:revision>
  <cp:lastPrinted>2025-09-08T08:52:00Z</cp:lastPrinted>
  <dcterms:created xsi:type="dcterms:W3CDTF">2022-10-13T07:14:00Z</dcterms:created>
  <dcterms:modified xsi:type="dcterms:W3CDTF">2025-09-11T03:33:00Z</dcterms:modified>
</cp:coreProperties>
</file>